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pStyle w:val="2"/>
        <w:rPr>
          <w:rFonts w:hint="eastAsia"/>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黄山市红十字会</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6"/>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4"/>
        <w:rPr>
          <w:rFonts w:hint="eastAsia"/>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黄山市红十字会</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黄山市红十字会202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黄山市红十字会202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2.2023年度捐赠收入项目绩效评价报告</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eastAsia="zh-CN"/>
        </w:rPr>
        <w:t>黄山市红十字会</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根据《黄山市红十字会机关主要职责内设机构和人员编制方案》（黄编字〔2010〕第32号）文件规定，黄山市红十字会的主要职责概括为：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1、贯彻国家、省红十字会工作的有关法律、法规和政策，研究拟定我市红十字会工作发展规划、实施计划并组织实施。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2、按照《中国红十字会章程》，依法指导全市各级红十字会工作。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3、开展备灾救灾工作，在自然灾害和突发事件中，协助政府实施赈灾救援。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4、开展人道主义领域内的社区服务和社会公益活动；组织开展群众性初级卫生救护训练和现场急救工作，普及卫生救护和防灾、防病知识；按照省红十字会的部署，参加国际人道主义救援工作。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5、依法开展与国外红十字会组织、红新月会及港、台红十字会组织的合作与交流活动。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6、组织管理全市红十字会志愿者队伍，开展无偿献血的宣传推动工作，开展骨髓移植和遗体（器官）捐献工作。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7、开展有益于青少年身心健康、弘扬人道主义精神的红十字青少年活动。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黑体" w:hAnsi="黑体" w:eastAsia="黑体"/>
          <w:color w:val="auto"/>
          <w:szCs w:val="32"/>
        </w:rPr>
      </w:pPr>
      <w:r>
        <w:rPr>
          <w:rFonts w:hint="eastAsia" w:ascii="仿宋_GB2312" w:hAnsi="仿宋" w:eastAsia="仿宋_GB2312" w:cs="Times New Roman"/>
          <w:color w:val="auto"/>
          <w:kern w:val="2"/>
          <w:sz w:val="32"/>
          <w:szCs w:val="32"/>
          <w:lang w:val="en-US" w:eastAsia="zh-CN" w:bidi="ar-SA"/>
        </w:rPr>
        <w:t>8、完成市政府和省红十字会交办的其他工作。</w:t>
      </w: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eastAsia="zh-CN"/>
        </w:rPr>
        <w:t>黄山市红十字会202</w:t>
      </w:r>
      <w:r>
        <w:rPr>
          <w:rFonts w:hint="eastAsia" w:ascii="仿宋_GB2312" w:hAnsi="仿宋"/>
          <w:color w:val="auto"/>
          <w:szCs w:val="32"/>
          <w:lang w:val="en-US" w:eastAsia="zh-CN"/>
        </w:rPr>
        <w:t>3</w:t>
      </w:r>
      <w:r>
        <w:rPr>
          <w:rFonts w:hint="eastAsia" w:ascii="仿宋_GB2312" w:hAnsi="仿宋"/>
          <w:color w:val="auto"/>
          <w:szCs w:val="32"/>
        </w:rPr>
        <w:t>年度部门决算编制范围的单位共</w:t>
      </w:r>
      <w:r>
        <w:rPr>
          <w:rFonts w:hint="eastAsia" w:ascii="仿宋_GB2312" w:hAnsi="仿宋"/>
          <w:color w:val="auto"/>
          <w:szCs w:val="32"/>
          <w:lang w:val="en-US" w:eastAsia="zh-CN"/>
        </w:rPr>
        <w:t>1</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7"/>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olor w:val="auto"/>
                <w:sz w:val="24"/>
                <w:lang w:eastAsia="zh-CN"/>
              </w:rPr>
              <w:t>黄山市红十字会</w:t>
            </w:r>
            <w:r>
              <w:rPr>
                <w:rFonts w:hint="eastAsia" w:ascii="宋体" w:hAnsi="宋体"/>
                <w:color w:val="auto"/>
                <w:sz w:val="24"/>
              </w:rPr>
              <w:t>本级</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color w:val="auto"/>
          <w:szCs w:val="32"/>
        </w:rPr>
      </w:pPr>
      <w:r>
        <w:rPr>
          <w:rFonts w:hint="eastAsia" w:ascii="仿宋_GB2312" w:hAnsi="仿宋"/>
          <w:color w:val="auto"/>
          <w:szCs w:val="32"/>
          <w:lang w:eastAsia="zh-CN"/>
        </w:rPr>
        <w:t>从决算</w:t>
      </w:r>
      <w:r>
        <w:rPr>
          <w:rFonts w:hint="eastAsia" w:ascii="仿宋_GB2312" w:hAnsi="仿宋" w:eastAsia="仿宋_GB2312"/>
          <w:color w:val="auto"/>
          <w:sz w:val="32"/>
          <w:szCs w:val="32"/>
        </w:rPr>
        <w:t>单位构成看，</w:t>
      </w:r>
      <w:r>
        <w:rPr>
          <w:rFonts w:hint="eastAsia" w:ascii="仿宋_GB2312" w:hAnsi="仿宋" w:cs="仿宋"/>
          <w:bCs/>
          <w:color w:val="auto"/>
          <w:sz w:val="32"/>
          <w:szCs w:val="32"/>
          <w:lang w:eastAsia="zh-CN"/>
        </w:rPr>
        <w:t>黄山市红十字会</w:t>
      </w:r>
      <w:r>
        <w:rPr>
          <w:rFonts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年度部门</w:t>
      </w:r>
      <w:r>
        <w:rPr>
          <w:rFonts w:hint="eastAsia" w:ascii="仿宋_GB2312" w:hAnsi="仿宋"/>
          <w:color w:val="auto"/>
          <w:szCs w:val="32"/>
          <w:lang w:eastAsia="zh-CN"/>
        </w:rPr>
        <w:t>决算</w:t>
      </w:r>
      <w:r>
        <w:rPr>
          <w:rFonts w:hint="eastAsia" w:ascii="仿宋_GB2312" w:hAnsi="仿宋" w:eastAsia="仿宋_GB2312"/>
          <w:color w:val="auto"/>
          <w:sz w:val="32"/>
          <w:szCs w:val="32"/>
        </w:rPr>
        <w:t>仅包括</w:t>
      </w:r>
      <w:r>
        <w:rPr>
          <w:rFonts w:hint="eastAsia" w:ascii="仿宋_GB2312" w:hAnsi="仿宋"/>
          <w:color w:val="auto"/>
          <w:sz w:val="32"/>
          <w:szCs w:val="32"/>
          <w:lang w:eastAsia="zh-CN"/>
        </w:rPr>
        <w:t>局</w:t>
      </w:r>
      <w:r>
        <w:rPr>
          <w:rFonts w:hint="eastAsia" w:ascii="仿宋_GB2312" w:hAnsi="仿宋" w:eastAsia="仿宋_GB2312"/>
          <w:color w:val="auto"/>
          <w:sz w:val="32"/>
          <w:szCs w:val="32"/>
        </w:rPr>
        <w:t>本级</w:t>
      </w:r>
      <w:r>
        <w:rPr>
          <w:rFonts w:hint="eastAsia" w:ascii="仿宋_GB2312" w:hAnsi="仿宋"/>
          <w:color w:val="auto"/>
          <w:szCs w:val="32"/>
          <w:lang w:eastAsia="zh-CN"/>
        </w:rPr>
        <w:t>决算</w:t>
      </w:r>
      <w:r>
        <w:rPr>
          <w:rFonts w:hint="eastAsia" w:ascii="仿宋_GB2312" w:hAnsi="仿宋" w:eastAsia="仿宋_GB2312"/>
          <w:color w:val="auto"/>
          <w:sz w:val="32"/>
          <w:szCs w:val="32"/>
        </w:rPr>
        <w:t>，无其他下属单位</w:t>
      </w:r>
      <w:r>
        <w:rPr>
          <w:rFonts w:hint="eastAsia" w:ascii="仿宋_GB2312" w:hAnsi="仿宋"/>
          <w:color w:val="auto"/>
          <w:szCs w:val="32"/>
          <w:lang w:eastAsia="zh-CN"/>
        </w:rPr>
        <w:t>决算</w:t>
      </w:r>
      <w:r>
        <w:rPr>
          <w:rFonts w:hint="eastAsia" w:ascii="仿宋_GB2312" w:hAnsi="仿宋" w:eastAsia="仿宋_GB2312"/>
          <w:color w:val="auto"/>
          <w:sz w:val="32"/>
          <w:szCs w:val="32"/>
        </w:rPr>
        <w:t>。</w:t>
      </w: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eastAsia="zh-CN"/>
        </w:rPr>
        <w:t>黄山市红十字会202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tbl>
      <w:tblPr>
        <w:tblStyle w:val="7"/>
        <w:tblW w:w="9100" w:type="dxa"/>
        <w:tblInd w:w="0" w:type="dxa"/>
        <w:tblLayout w:type="fixed"/>
        <w:tblCellMar>
          <w:top w:w="0" w:type="dxa"/>
          <w:left w:w="0" w:type="dxa"/>
          <w:bottom w:w="0" w:type="dxa"/>
          <w:right w:w="0" w:type="dxa"/>
        </w:tblCellMar>
      </w:tblPr>
      <w:tblGrid>
        <w:gridCol w:w="3450"/>
        <w:gridCol w:w="456"/>
        <w:gridCol w:w="777"/>
        <w:gridCol w:w="3265"/>
        <w:gridCol w:w="370"/>
        <w:gridCol w:w="782"/>
      </w:tblGrid>
      <w:tr>
        <w:tblPrEx>
          <w:tblCellMar>
            <w:top w:w="0" w:type="dxa"/>
            <w:left w:w="0" w:type="dxa"/>
            <w:bottom w:w="0" w:type="dxa"/>
            <w:right w:w="0" w:type="dxa"/>
          </w:tblCellMar>
        </w:tblPrEx>
        <w:trPr>
          <w:trHeight w:val="246" w:hRule="atLeast"/>
        </w:trPr>
        <w:tc>
          <w:tcPr>
            <w:tcW w:w="9100"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125" w:hRule="atLeast"/>
        </w:trPr>
        <w:tc>
          <w:tcPr>
            <w:tcW w:w="3450"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456"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77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265"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70"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16"/>
                <w:szCs w:val="16"/>
                <w:u w:val="none"/>
              </w:rPr>
            </w:pPr>
          </w:p>
        </w:tc>
        <w:tc>
          <w:tcPr>
            <w:tcW w:w="782"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tblPrEx>
          <w:tblCellMar>
            <w:top w:w="0" w:type="dxa"/>
            <w:left w:w="0" w:type="dxa"/>
            <w:bottom w:w="0" w:type="dxa"/>
            <w:right w:w="0" w:type="dxa"/>
          </w:tblCellMar>
        </w:tblPrEx>
        <w:trPr>
          <w:trHeight w:val="125" w:hRule="atLeast"/>
        </w:trPr>
        <w:tc>
          <w:tcPr>
            <w:tcW w:w="345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w:t>
            </w:r>
          </w:p>
        </w:tc>
        <w:tc>
          <w:tcPr>
            <w:tcW w:w="456"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77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3265"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1152"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129" w:hRule="atLeast"/>
        </w:trPr>
        <w:tc>
          <w:tcPr>
            <w:tcW w:w="468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417"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246"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246.45</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46"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20.96</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239.54</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4.38</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8.90</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33.76</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267.41</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286.89</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68.39</w:t>
            </w: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48.90</w:t>
            </w: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5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7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3265"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3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782"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25" w:hRule="atLeast"/>
        </w:trPr>
        <w:tc>
          <w:tcPr>
            <w:tcW w:w="3450"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56"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77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335.79</w:t>
            </w:r>
          </w:p>
        </w:tc>
        <w:tc>
          <w:tcPr>
            <w:tcW w:w="3265"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7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782"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335.79</w:t>
            </w:r>
          </w:p>
        </w:tc>
      </w:tr>
      <w:tr>
        <w:tblPrEx>
          <w:tblCellMar>
            <w:top w:w="0" w:type="dxa"/>
            <w:left w:w="0" w:type="dxa"/>
            <w:bottom w:w="0" w:type="dxa"/>
            <w:right w:w="0" w:type="dxa"/>
          </w:tblCellMar>
        </w:tblPrEx>
        <w:trPr>
          <w:trHeight w:val="128" w:hRule="atLeast"/>
        </w:trPr>
        <w:tc>
          <w:tcPr>
            <w:tcW w:w="9100"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注：本表反映部门本年度的总收支和年末结转结余情况；本套报表金额单位转换成万元时，因四舍五入可能存在尾数误差。</w:t>
            </w:r>
          </w:p>
        </w:tc>
      </w:tr>
    </w:tbl>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7"/>
        <w:tblW w:w="11394" w:type="dxa"/>
        <w:tblInd w:w="0" w:type="dxa"/>
        <w:tblLayout w:type="fixed"/>
        <w:tblCellMar>
          <w:top w:w="0" w:type="dxa"/>
          <w:left w:w="0" w:type="dxa"/>
          <w:bottom w:w="0" w:type="dxa"/>
          <w:right w:w="0" w:type="dxa"/>
        </w:tblCellMar>
      </w:tblPr>
      <w:tblGrid>
        <w:gridCol w:w="400"/>
        <w:gridCol w:w="206"/>
        <w:gridCol w:w="187"/>
        <w:gridCol w:w="77"/>
        <w:gridCol w:w="264"/>
        <w:gridCol w:w="1326"/>
        <w:gridCol w:w="791"/>
        <w:gridCol w:w="791"/>
        <w:gridCol w:w="765"/>
        <w:gridCol w:w="736"/>
        <w:gridCol w:w="292"/>
        <w:gridCol w:w="595"/>
        <w:gridCol w:w="818"/>
        <w:gridCol w:w="804"/>
        <w:gridCol w:w="1078"/>
        <w:gridCol w:w="2264"/>
      </w:tblGrid>
      <w:tr>
        <w:tblPrEx>
          <w:tblCellMar>
            <w:top w:w="0" w:type="dxa"/>
            <w:left w:w="0" w:type="dxa"/>
            <w:bottom w:w="0" w:type="dxa"/>
            <w:right w:w="0" w:type="dxa"/>
          </w:tblCellMar>
        </w:tblPrEx>
        <w:trPr>
          <w:gridAfter w:val="1"/>
          <w:wAfter w:w="2264" w:type="dxa"/>
          <w:trHeight w:val="44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2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gridAfter w:val="1"/>
          <w:wAfter w:w="2264" w:type="dxa"/>
          <w:trHeight w:val="441"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2"/>
                <w:szCs w:val="22"/>
                <w:u w:val="none"/>
                <w:lang w:val="en-US" w:eastAsia="zh-CN" w:bidi="ar"/>
              </w:rPr>
              <w:t>部门：</w:t>
            </w: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2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6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32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79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79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76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2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2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51"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2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9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6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9"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项</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栏次</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1</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gridAfter w:val="1"/>
          <w:wAfter w:w="2264" w:type="dxa"/>
          <w:trHeight w:val="561"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合计</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2"/>
                <w:szCs w:val="22"/>
                <w:u w:val="none"/>
                <w:lang w:val="en-US" w:eastAsia="zh-CN" w:bidi="ar"/>
              </w:rPr>
              <w:t>267.41</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2"/>
                <w:szCs w:val="22"/>
                <w:u w:val="none"/>
                <w:lang w:val="en-US" w:eastAsia="zh-CN" w:bidi="ar"/>
              </w:rPr>
              <w:t>246.45</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000000"/>
                <w:kern w:val="0"/>
                <w:sz w:val="22"/>
                <w:szCs w:val="22"/>
                <w:u w:val="none"/>
                <w:lang w:val="en-US" w:eastAsia="zh-CN" w:bidi="ar"/>
              </w:rPr>
              <w:t>20.96</w:t>
            </w:r>
          </w:p>
        </w:tc>
      </w:tr>
      <w:tr>
        <w:tblPrEx>
          <w:tblCellMar>
            <w:top w:w="0" w:type="dxa"/>
            <w:left w:w="0" w:type="dxa"/>
            <w:bottom w:w="0" w:type="dxa"/>
            <w:right w:w="0" w:type="dxa"/>
          </w:tblCellMar>
        </w:tblPrEx>
        <w:trPr>
          <w:gridAfter w:val="1"/>
          <w:wAfter w:w="2264" w:type="dxa"/>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2013699</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0.30</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0.30</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2080501</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行政单位离退休</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6.75</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6.75</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2080505</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15.08</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15.08</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2080506</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7.54</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7.54</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2081601</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行政运行</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98.94</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98.94</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2081699</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其他红十字事业支出</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104.57</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104.57</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2101101</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行政单位医疗</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4.38</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4.38</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2210201</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住房公积金</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8.90</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8.90</w:t>
            </w: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2299999</w:t>
            </w:r>
          </w:p>
        </w:tc>
        <w:tc>
          <w:tcPr>
            <w:tcW w:w="132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其他支出</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20.96</w:t>
            </w:r>
          </w:p>
        </w:tc>
        <w:tc>
          <w:tcPr>
            <w:tcW w:w="79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6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2"/>
                <w:szCs w:val="22"/>
                <w:u w:val="none"/>
                <w:lang w:val="en-US" w:eastAsia="zh-CN" w:bidi="ar"/>
              </w:rPr>
              <w:t>20.96</w:t>
            </w:r>
          </w:p>
        </w:tc>
      </w:tr>
      <w:tr>
        <w:tblPrEx>
          <w:tblCellMar>
            <w:top w:w="0" w:type="dxa"/>
            <w:left w:w="0" w:type="dxa"/>
            <w:bottom w:w="0" w:type="dxa"/>
            <w:right w:w="0" w:type="dxa"/>
          </w:tblCellMar>
        </w:tblPrEx>
        <w:trPr>
          <w:trHeight w:val="614" w:hRule="atLeast"/>
        </w:trPr>
        <w:tc>
          <w:tcPr>
            <w:tcW w:w="11394"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pPr>
        <w:ind w:firstLine="640" w:firstLineChars="200"/>
        <w:rPr>
          <w:rFonts w:hint="eastAsia" w:ascii="黑体" w:hAnsi="黑体" w:eastAsia="黑体"/>
          <w:color w:val="auto"/>
          <w:szCs w:val="32"/>
        </w:rPr>
      </w:pPr>
    </w:p>
    <w:p>
      <w:pPr>
        <w:pStyle w:val="2"/>
        <w:rPr>
          <w:rFonts w:hint="eastAsia"/>
        </w:rPr>
      </w:pPr>
    </w:p>
    <w:p>
      <w:pPr>
        <w:ind w:firstLine="640" w:firstLineChars="200"/>
        <w:rPr>
          <w:rFonts w:hint="eastAsia"/>
        </w:rPr>
      </w:pPr>
      <w:r>
        <w:rPr>
          <w:rFonts w:hint="eastAsia" w:ascii="黑体" w:hAnsi="黑体" w:eastAsia="黑体"/>
          <w:color w:val="auto"/>
          <w:szCs w:val="32"/>
        </w:rPr>
        <w:t xml:space="preserve">              </w:t>
      </w: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7"/>
        <w:tblW w:w="9157" w:type="dxa"/>
        <w:tblInd w:w="0" w:type="dxa"/>
        <w:tblLayout w:type="fixed"/>
        <w:tblCellMar>
          <w:top w:w="0" w:type="dxa"/>
          <w:left w:w="0" w:type="dxa"/>
          <w:bottom w:w="0" w:type="dxa"/>
          <w:right w:w="0" w:type="dxa"/>
        </w:tblCellMar>
      </w:tblPr>
      <w:tblGrid>
        <w:gridCol w:w="411"/>
        <w:gridCol w:w="264"/>
        <w:gridCol w:w="195"/>
        <w:gridCol w:w="99"/>
        <w:gridCol w:w="294"/>
        <w:gridCol w:w="1633"/>
        <w:gridCol w:w="806"/>
        <w:gridCol w:w="1023"/>
        <w:gridCol w:w="1077"/>
        <w:gridCol w:w="1050"/>
        <w:gridCol w:w="1105"/>
        <w:gridCol w:w="1200"/>
      </w:tblGrid>
      <w:tr>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3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549" w:hRule="atLeast"/>
        </w:trPr>
        <w:tc>
          <w:tcPr>
            <w:tcW w:w="67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3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63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80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6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0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6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0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63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0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286.89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150.24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136.65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2081601</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其他红十字事业支出</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111.24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111.24</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163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0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33.76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8.36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25.41</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pStyle w:val="2"/>
        <w:rPr>
          <w:rFonts w:hint="eastAsia" w:ascii="黑体" w:hAnsi="黑体" w:eastAsia="黑体"/>
          <w:color w:val="auto"/>
          <w:szCs w:val="32"/>
        </w:rPr>
      </w:pPr>
    </w:p>
    <w:p>
      <w:pPr>
        <w:rPr>
          <w:rFonts w:hint="eastAsia" w:ascii="黑体" w:hAnsi="黑体" w:eastAsia="黑体"/>
          <w:color w:val="auto"/>
          <w:szCs w:val="32"/>
        </w:rPr>
      </w:pPr>
    </w:p>
    <w:p>
      <w:pPr>
        <w:pStyle w:val="2"/>
        <w:rPr>
          <w:rFonts w:hint="eastAsia" w:ascii="黑体" w:hAnsi="黑体" w:eastAsia="黑体"/>
          <w:color w:val="auto"/>
          <w:szCs w:val="32"/>
        </w:rPr>
      </w:pPr>
    </w:p>
    <w:p>
      <w:pPr>
        <w:rPr>
          <w:rFonts w:hint="eastAsia"/>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7"/>
        <w:tblW w:w="9669" w:type="dxa"/>
        <w:tblInd w:w="-213" w:type="dxa"/>
        <w:tblLayout w:type="fixed"/>
        <w:tblCellMar>
          <w:top w:w="0" w:type="dxa"/>
          <w:left w:w="0" w:type="dxa"/>
          <w:bottom w:w="0" w:type="dxa"/>
          <w:right w:w="0" w:type="dxa"/>
        </w:tblCellMar>
      </w:tblPr>
      <w:tblGrid>
        <w:gridCol w:w="2087"/>
        <w:gridCol w:w="518"/>
        <w:gridCol w:w="718"/>
        <w:gridCol w:w="2751"/>
        <w:gridCol w:w="419"/>
        <w:gridCol w:w="753"/>
        <w:gridCol w:w="824"/>
        <w:gridCol w:w="161"/>
        <w:gridCol w:w="279"/>
        <w:gridCol w:w="401"/>
        <w:gridCol w:w="758"/>
      </w:tblGrid>
      <w:tr>
        <w:tblPrEx>
          <w:tblCellMar>
            <w:top w:w="0" w:type="dxa"/>
            <w:left w:w="0" w:type="dxa"/>
            <w:bottom w:w="0" w:type="dxa"/>
            <w:right w:w="0" w:type="dxa"/>
          </w:tblCellMar>
        </w:tblPrEx>
        <w:trPr>
          <w:trHeight w:val="153" w:hRule="atLeast"/>
        </w:trPr>
        <w:tc>
          <w:tcPr>
            <w:tcW w:w="2087"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5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1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5"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59"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153" w:hRule="atLeast"/>
        </w:trPr>
        <w:tc>
          <w:tcPr>
            <w:tcW w:w="2087"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部门：</w:t>
            </w:r>
          </w:p>
        </w:tc>
        <w:tc>
          <w:tcPr>
            <w:tcW w:w="5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5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1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5"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59"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158" w:hRule="atLeast"/>
        </w:trPr>
        <w:tc>
          <w:tcPr>
            <w:tcW w:w="332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6346"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tblPrEx>
          <w:tblCellMar>
            <w:top w:w="0" w:type="dxa"/>
            <w:left w:w="0" w:type="dxa"/>
            <w:bottom w:w="0" w:type="dxa"/>
            <w:right w:w="0" w:type="dxa"/>
          </w:tblCellMar>
        </w:tblPrEx>
        <w:trPr>
          <w:trHeight w:val="312" w:hRule="atLeast"/>
        </w:trPr>
        <w:tc>
          <w:tcPr>
            <w:tcW w:w="2087"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5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751"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1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5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8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41"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58"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312" w:hRule="atLeast"/>
        </w:trPr>
        <w:tc>
          <w:tcPr>
            <w:tcW w:w="2087"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5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751"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1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5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41"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58"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tblPrEx>
          <w:tblCellMar>
            <w:top w:w="0" w:type="dxa"/>
            <w:left w:w="0" w:type="dxa"/>
            <w:bottom w:w="0" w:type="dxa"/>
            <w:right w:w="0" w:type="dxa"/>
          </w:tblCellMar>
        </w:tblPrEx>
        <w:trPr>
          <w:trHeight w:val="301"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246.45</w:t>
            </w: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0.30</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0.30</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239.54</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239.54</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4.38</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4.38</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8.90</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8.90</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1"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246.45</w:t>
            </w: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36.68</w:t>
            </w: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153"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36.68</w:t>
            </w: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1"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253.13</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253.13</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1" w:hRule="atLeast"/>
        </w:trPr>
        <w:tc>
          <w:tcPr>
            <w:tcW w:w="2087"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7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75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5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30.01</w:t>
            </w:r>
          </w:p>
        </w:tc>
        <w:tc>
          <w:tcPr>
            <w:tcW w:w="8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30.01</w:t>
            </w:r>
          </w:p>
        </w:tc>
        <w:tc>
          <w:tcPr>
            <w:tcW w:w="841"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1" w:hRule="atLeast"/>
        </w:trPr>
        <w:tc>
          <w:tcPr>
            <w:tcW w:w="2087"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51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718"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283.14</w:t>
            </w:r>
          </w:p>
        </w:tc>
        <w:tc>
          <w:tcPr>
            <w:tcW w:w="275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19"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5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283.14</w:t>
            </w:r>
          </w:p>
        </w:tc>
        <w:tc>
          <w:tcPr>
            <w:tcW w:w="824"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22"/>
                <w:szCs w:val="22"/>
                <w:u w:val="none"/>
                <w:lang w:val="en-US" w:eastAsia="zh-CN" w:bidi="ar"/>
              </w:rPr>
              <w:t>283.14</w:t>
            </w:r>
          </w:p>
        </w:tc>
        <w:tc>
          <w:tcPr>
            <w:tcW w:w="841"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58"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4" w:hRule="atLeast"/>
        </w:trPr>
        <w:tc>
          <w:tcPr>
            <w:tcW w:w="9669"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7"/>
        <w:tblW w:w="0" w:type="auto"/>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489" w:hRule="atLeast"/>
        </w:trPr>
        <w:tc>
          <w:tcPr>
            <w:tcW w:w="987" w:type="dxa"/>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7"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557"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253.13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141.89</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000000"/>
                <w:kern w:val="0"/>
                <w:sz w:val="22"/>
                <w:szCs w:val="22"/>
                <w:u w:val="none"/>
                <w:lang w:val="en-US" w:eastAsia="zh-CN" w:bidi="ar"/>
              </w:rPr>
              <w:t>111.24</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15.08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2081601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其他红十字事业支出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111.24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111.24</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rPr>
      </w:pPr>
    </w:p>
    <w:p>
      <w:pPr>
        <w:pStyle w:val="2"/>
        <w:rPr>
          <w:rFonts w:hint="eastAsia"/>
        </w:rPr>
      </w:pPr>
    </w:p>
    <w:p>
      <w:pPr>
        <w:rPr>
          <w:rFonts w:hint="eastAsia"/>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7"/>
        <w:tblW w:w="8955" w:type="dxa"/>
        <w:tblInd w:w="-158" w:type="dxa"/>
        <w:tblLayout w:type="fixed"/>
        <w:tblCellMar>
          <w:top w:w="0" w:type="dxa"/>
          <w:left w:w="0" w:type="dxa"/>
          <w:bottom w:w="0" w:type="dxa"/>
          <w:right w:w="0" w:type="dxa"/>
        </w:tblCellMar>
      </w:tblPr>
      <w:tblGrid>
        <w:gridCol w:w="545"/>
        <w:gridCol w:w="212"/>
        <w:gridCol w:w="1771"/>
        <w:gridCol w:w="615"/>
        <w:gridCol w:w="571"/>
        <w:gridCol w:w="1683"/>
        <w:gridCol w:w="518"/>
        <w:gridCol w:w="538"/>
        <w:gridCol w:w="88"/>
        <w:gridCol w:w="1673"/>
        <w:gridCol w:w="174"/>
        <w:gridCol w:w="567"/>
      </w:tblGrid>
      <w:tr>
        <w:tblPrEx>
          <w:tblCellMar>
            <w:top w:w="0" w:type="dxa"/>
            <w:left w:w="0" w:type="dxa"/>
            <w:bottom w:w="0" w:type="dxa"/>
            <w:right w:w="0" w:type="dxa"/>
          </w:tblCellMar>
        </w:tblPrEx>
        <w:trPr>
          <w:trHeight w:val="153" w:hRule="atLeast"/>
        </w:trPr>
        <w:tc>
          <w:tcPr>
            <w:tcW w:w="757"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7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1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6"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41"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165" w:hRule="atLeast"/>
        </w:trPr>
        <w:tc>
          <w:tcPr>
            <w:tcW w:w="757"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17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1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8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6"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14"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159" w:hRule="atLeast"/>
        </w:trPr>
        <w:tc>
          <w:tcPr>
            <w:tcW w:w="314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12"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312" w:hRule="atLeast"/>
        </w:trPr>
        <w:tc>
          <w:tcPr>
            <w:tcW w:w="5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8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1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1"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68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3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3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6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12" w:hRule="atLeast"/>
        </w:trPr>
        <w:tc>
          <w:tcPr>
            <w:tcW w:w="5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8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1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1"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68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3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3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6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32"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124.97</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10.11</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1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27.41</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0.79</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0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17.17</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42.00</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3"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2.22</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0.04</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13"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12.78</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0.21</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40"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6.59</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0.04</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4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5.64</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8"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1.99</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0.11</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0.08</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32"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8.90</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48"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36"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0.18</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32"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6.80</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12"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0"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0.10</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8"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8"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6.80</w:t>
            </w: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0.17</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17"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0.85</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12"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0.97</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0"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0"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5.46</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13"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09"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0.37</w:t>
            </w: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40"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24" w:hRule="atLeast"/>
        </w:trPr>
        <w:tc>
          <w:tcPr>
            <w:tcW w:w="54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3"/>
                <w:szCs w:val="13"/>
                <w:u w:val="none"/>
              </w:rPr>
            </w:pPr>
          </w:p>
        </w:tc>
        <w:tc>
          <w:tcPr>
            <w:tcW w:w="1983"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57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6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kern w:val="0"/>
                <w:sz w:val="16"/>
                <w:szCs w:val="16"/>
                <w:u w:val="none"/>
                <w:lang w:val="en-US" w:eastAsia="zh-CN" w:bidi="ar"/>
              </w:rPr>
            </w:pPr>
          </w:p>
        </w:tc>
        <w:tc>
          <w:tcPr>
            <w:tcW w:w="5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3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40" w:hRule="atLeast"/>
        </w:trPr>
        <w:tc>
          <w:tcPr>
            <w:tcW w:w="2528"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1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131.77</w:t>
            </w:r>
          </w:p>
        </w:tc>
        <w:tc>
          <w:tcPr>
            <w:tcW w:w="5245"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10.11</w:t>
            </w:r>
          </w:p>
        </w:tc>
      </w:tr>
      <w:tr>
        <w:tblPrEx>
          <w:tblCellMar>
            <w:top w:w="0" w:type="dxa"/>
            <w:left w:w="0" w:type="dxa"/>
            <w:bottom w:w="0" w:type="dxa"/>
            <w:right w:w="0" w:type="dxa"/>
          </w:tblCellMar>
        </w:tblPrEx>
        <w:trPr>
          <w:trHeight w:val="147" w:hRule="atLeast"/>
        </w:trPr>
        <w:tc>
          <w:tcPr>
            <w:tcW w:w="8955"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pPr>
        <w:jc w:val="both"/>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7"/>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403"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部门：</w:t>
            </w:r>
          </w:p>
        </w:tc>
        <w:tc>
          <w:tcPr>
            <w:tcW w:w="40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7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91"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7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716"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633"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898" w:hRule="atLeast"/>
        </w:trPr>
        <w:tc>
          <w:tcPr>
            <w:tcW w:w="8860" w:type="dxa"/>
            <w:gridSpan w:val="25"/>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说明：黄山市红十字会没有政府性基金预算收入，也没有使用政府性基金预算安排的支出，故本表无数据。</w:t>
            </w:r>
          </w:p>
        </w:tc>
      </w:tr>
    </w:tbl>
    <w:p>
      <w:pPr>
        <w:jc w:val="center"/>
        <w:rPr>
          <w:rFonts w:hint="eastAsia" w:ascii="黑体" w:hAnsi="黑体" w:eastAsia="黑体"/>
          <w:color w:val="auto"/>
          <w:szCs w:val="32"/>
        </w:rPr>
      </w:pPr>
    </w:p>
    <w:p>
      <w:pPr>
        <w:jc w:val="center"/>
        <w:rPr>
          <w:rFonts w:hint="eastAsia" w:ascii="黑体" w:hAnsi="黑体" w:eastAsia="黑体"/>
          <w:color w:val="auto"/>
          <w:szCs w:val="32"/>
        </w:rPr>
      </w:pPr>
    </w:p>
    <w:p>
      <w:pPr>
        <w:pStyle w:val="2"/>
        <w:rPr>
          <w:rFonts w:hint="eastAsia" w:ascii="黑体" w:hAnsi="黑体" w:eastAsia="黑体"/>
          <w:color w:val="auto"/>
          <w:szCs w:val="32"/>
        </w:rPr>
      </w:pPr>
    </w:p>
    <w:p>
      <w:pPr>
        <w:rPr>
          <w:rFonts w:hint="eastAsia" w:ascii="黑体" w:hAnsi="黑体" w:eastAsia="黑体"/>
          <w:color w:val="auto"/>
          <w:szCs w:val="32"/>
        </w:rPr>
      </w:pPr>
    </w:p>
    <w:p>
      <w:pPr>
        <w:pStyle w:val="2"/>
        <w:rPr>
          <w:rFonts w:hint="eastAsia" w:ascii="黑体" w:hAnsi="黑体" w:eastAsia="黑体"/>
          <w:color w:val="auto"/>
          <w:szCs w:val="32"/>
        </w:rPr>
      </w:pPr>
    </w:p>
    <w:p>
      <w:pPr>
        <w:rPr>
          <w:rFonts w:hint="eastAsia" w:ascii="黑体" w:hAnsi="黑体" w:eastAsia="黑体"/>
          <w:color w:val="auto"/>
          <w:szCs w:val="32"/>
        </w:rPr>
      </w:pPr>
    </w:p>
    <w:p>
      <w:pPr>
        <w:pStyle w:val="2"/>
        <w:rPr>
          <w:rFonts w:hint="eastAsia"/>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7"/>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964" w:hRule="atLeast"/>
        </w:trPr>
        <w:tc>
          <w:tcPr>
            <w:tcW w:w="8779" w:type="dxa"/>
            <w:gridSpan w:val="7"/>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Arial"/>
                <w:color w:val="auto"/>
                <w:kern w:val="0"/>
                <w:sz w:val="22"/>
                <w:szCs w:val="22"/>
              </w:rPr>
            </w:pPr>
            <w:r>
              <w:rPr>
                <w:rFonts w:hint="eastAsia" w:ascii="宋体" w:hAnsi="宋体" w:eastAsia="宋体" w:cs="宋体"/>
                <w:i w:val="0"/>
                <w:color w:val="auto"/>
                <w:kern w:val="0"/>
                <w:sz w:val="20"/>
                <w:szCs w:val="20"/>
                <w:u w:val="none"/>
                <w:lang w:val="en-US" w:eastAsia="zh-CN" w:bidi="ar"/>
              </w:rPr>
              <w:t>说明：黄山市红十字会没有国有资本经营预算财政拨款安排的支出，故本表无数据。</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s="Times New Roman"/>
          <w:color w:val="auto"/>
          <w:szCs w:val="32"/>
        </w:rPr>
      </w:pPr>
    </w:p>
    <w:p>
      <w:pPr>
        <w:pStyle w:val="2"/>
        <w:rPr>
          <w:rFonts w:hint="eastAsia" w:ascii="黑体" w:hAnsi="黑体" w:eastAsia="黑体" w:cs="Times New Roman"/>
          <w:color w:val="auto"/>
          <w:szCs w:val="32"/>
        </w:rPr>
      </w:pPr>
    </w:p>
    <w:p>
      <w:pPr>
        <w:rPr>
          <w:rFonts w:hint="eastAsia" w:ascii="黑体" w:hAnsi="黑体" w:eastAsia="黑体" w:cs="Times New Roman"/>
          <w:color w:val="auto"/>
          <w:szCs w:val="32"/>
        </w:rPr>
      </w:pPr>
    </w:p>
    <w:p>
      <w:pPr>
        <w:pStyle w:val="2"/>
        <w:rPr>
          <w:rFonts w:hint="eastAsia" w:ascii="黑体" w:hAnsi="黑体" w:eastAsia="黑体" w:cs="Times New Roman"/>
          <w:color w:val="auto"/>
          <w:szCs w:val="32"/>
        </w:rPr>
      </w:pPr>
    </w:p>
    <w:p>
      <w:pPr>
        <w:rPr>
          <w:rFonts w:hint="eastAsia" w:ascii="黑体" w:hAnsi="黑体" w:eastAsia="黑体" w:cs="Times New Roman"/>
          <w:color w:val="auto"/>
          <w:szCs w:val="32"/>
        </w:rPr>
      </w:pPr>
    </w:p>
    <w:p>
      <w:pPr>
        <w:pStyle w:val="2"/>
        <w:rPr>
          <w:rFonts w:hint="eastAsia" w:ascii="黑体" w:hAnsi="黑体" w:eastAsia="黑体" w:cs="Times New Roman"/>
          <w:color w:val="auto"/>
          <w:szCs w:val="32"/>
        </w:rPr>
      </w:pPr>
    </w:p>
    <w:p>
      <w:pPr>
        <w:rPr>
          <w:rFonts w:hint="eastAsia" w:ascii="黑体" w:hAnsi="黑体" w:eastAsia="黑体" w:cs="Times New Roman"/>
          <w:color w:val="auto"/>
          <w:szCs w:val="32"/>
        </w:rPr>
      </w:pPr>
    </w:p>
    <w:p>
      <w:pPr>
        <w:pStyle w:val="2"/>
        <w:rPr>
          <w:rFonts w:hint="eastAsia" w:ascii="黑体" w:hAnsi="黑体" w:eastAsia="黑体" w:cs="Times New Roman"/>
          <w:color w:val="auto"/>
          <w:szCs w:val="32"/>
        </w:rPr>
      </w:pPr>
    </w:p>
    <w:p>
      <w:pPr>
        <w:rPr>
          <w:rFonts w:hint="eastAsia"/>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eastAsia="zh-CN"/>
        </w:rPr>
        <w:t>黄山市红十字会202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335.79</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335.79</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10.03</w:t>
      </w:r>
      <w:r>
        <w:rPr>
          <w:rFonts w:hint="eastAsia" w:ascii="仿宋_GB2312" w:hAnsi="仿宋"/>
          <w:color w:val="auto"/>
          <w:szCs w:val="32"/>
        </w:rPr>
        <w:t>万元，增长</w:t>
      </w:r>
      <w:r>
        <w:rPr>
          <w:rFonts w:hint="eastAsia" w:ascii="仿宋_GB2312" w:hAnsi="仿宋"/>
          <w:color w:val="auto"/>
          <w:szCs w:val="32"/>
          <w:lang w:val="en-US" w:eastAsia="zh-CN"/>
        </w:rPr>
        <w:t>3.08</w:t>
      </w:r>
      <w:r>
        <w:rPr>
          <w:rFonts w:hint="eastAsia" w:ascii="仿宋_GB2312" w:hAnsi="仿宋"/>
          <w:color w:val="auto"/>
          <w:szCs w:val="32"/>
        </w:rPr>
        <w:t>%，主要原因：一是</w:t>
      </w:r>
      <w:r>
        <w:rPr>
          <w:rFonts w:hint="eastAsia" w:ascii="仿宋_GB2312" w:hAnsi="仿宋"/>
          <w:color w:val="auto"/>
          <w:szCs w:val="32"/>
          <w:lang w:val="en-US" w:eastAsia="zh-CN"/>
        </w:rPr>
        <w:t>2023</w:t>
      </w:r>
      <w:r>
        <w:rPr>
          <w:rFonts w:hint="eastAsia" w:ascii="仿宋_GB2312" w:hAnsi="仿宋"/>
          <w:color w:val="auto"/>
          <w:szCs w:val="32"/>
          <w:lang w:eastAsia="zh-CN"/>
        </w:rPr>
        <w:t>年捐赠收入增加，使得当年非税收入增加，收入增加导致支出相应增加</w:t>
      </w:r>
      <w:r>
        <w:rPr>
          <w:rFonts w:hint="eastAsia" w:ascii="仿宋_GB2312" w:hAnsi="仿宋"/>
          <w:color w:val="auto"/>
          <w:szCs w:val="32"/>
        </w:rPr>
        <w:t>；二是单位职工正常调资。</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267.41</w:t>
      </w:r>
      <w:r>
        <w:rPr>
          <w:rFonts w:hint="eastAsia" w:ascii="仿宋_GB2312" w:hAnsi="仿宋"/>
          <w:color w:val="auto"/>
          <w:szCs w:val="32"/>
        </w:rPr>
        <w:t>万元，其中：财政拨款收入</w:t>
      </w:r>
      <w:bookmarkStart w:id="0" w:name="_GoBack"/>
      <w:bookmarkEnd w:id="0"/>
      <w:r>
        <w:rPr>
          <w:rFonts w:hint="eastAsia" w:ascii="仿宋_GB2312" w:hAnsi="仿宋"/>
          <w:color w:val="auto"/>
          <w:szCs w:val="32"/>
          <w:lang w:val="en-US" w:eastAsia="zh-CN"/>
        </w:rPr>
        <w:t>246.45</w:t>
      </w:r>
      <w:r>
        <w:rPr>
          <w:rFonts w:hint="eastAsia" w:ascii="仿宋_GB2312" w:hAnsi="仿宋"/>
          <w:color w:val="auto"/>
          <w:szCs w:val="32"/>
        </w:rPr>
        <w:t>万元，占</w:t>
      </w:r>
      <w:r>
        <w:rPr>
          <w:rFonts w:hint="eastAsia" w:ascii="仿宋_GB2312" w:hAnsi="仿宋"/>
          <w:color w:val="auto"/>
          <w:szCs w:val="32"/>
          <w:lang w:val="en-US" w:eastAsia="zh-CN"/>
        </w:rPr>
        <w:t>92.16</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20.96</w:t>
      </w:r>
      <w:r>
        <w:rPr>
          <w:rFonts w:hint="eastAsia" w:ascii="仿宋_GB2312" w:hAnsi="仿宋"/>
          <w:color w:val="auto"/>
          <w:szCs w:val="32"/>
        </w:rPr>
        <w:t>万元，占</w:t>
      </w:r>
      <w:r>
        <w:rPr>
          <w:rFonts w:hint="eastAsia" w:ascii="仿宋_GB2312" w:hAnsi="仿宋"/>
          <w:color w:val="auto"/>
          <w:szCs w:val="32"/>
          <w:lang w:val="en-US" w:eastAsia="zh-CN"/>
        </w:rPr>
        <w:t>7.84</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286.89</w:t>
      </w:r>
      <w:r>
        <w:rPr>
          <w:rFonts w:hint="eastAsia" w:ascii="仿宋_GB2312" w:hAnsi="仿宋"/>
          <w:color w:val="auto"/>
          <w:szCs w:val="32"/>
        </w:rPr>
        <w:t>万元，其中：基本支出</w:t>
      </w:r>
      <w:r>
        <w:rPr>
          <w:rFonts w:hint="eastAsia" w:ascii="仿宋_GB2312" w:hAnsi="仿宋"/>
          <w:color w:val="auto"/>
          <w:szCs w:val="32"/>
          <w:lang w:val="en-US" w:eastAsia="zh-CN"/>
        </w:rPr>
        <w:t>150.24</w:t>
      </w:r>
      <w:r>
        <w:rPr>
          <w:rFonts w:hint="eastAsia" w:ascii="仿宋_GB2312" w:hAnsi="仿宋"/>
          <w:color w:val="auto"/>
          <w:szCs w:val="32"/>
        </w:rPr>
        <w:t>万元，占</w:t>
      </w:r>
      <w:r>
        <w:rPr>
          <w:rFonts w:hint="eastAsia" w:ascii="仿宋_GB2312" w:hAnsi="仿宋"/>
          <w:color w:val="auto"/>
          <w:szCs w:val="32"/>
          <w:lang w:val="en-US" w:eastAsia="zh-CN"/>
        </w:rPr>
        <w:t>52.37</w:t>
      </w:r>
      <w:r>
        <w:rPr>
          <w:rFonts w:hint="eastAsia" w:ascii="仿宋_GB2312" w:hAnsi="仿宋"/>
          <w:color w:val="auto"/>
          <w:szCs w:val="32"/>
        </w:rPr>
        <w:t>%；项目支出</w:t>
      </w:r>
      <w:r>
        <w:rPr>
          <w:rFonts w:hint="eastAsia" w:ascii="仿宋_GB2312" w:hAnsi="仿宋"/>
          <w:color w:val="auto"/>
          <w:szCs w:val="32"/>
          <w:lang w:val="en-US" w:eastAsia="zh-CN"/>
        </w:rPr>
        <w:t>136.65</w:t>
      </w:r>
      <w:r>
        <w:rPr>
          <w:rFonts w:hint="eastAsia" w:ascii="仿宋_GB2312" w:hAnsi="仿宋"/>
          <w:color w:val="auto"/>
          <w:szCs w:val="32"/>
        </w:rPr>
        <w:t>万元，占</w:t>
      </w:r>
      <w:r>
        <w:rPr>
          <w:rFonts w:hint="eastAsia" w:ascii="仿宋_GB2312" w:hAnsi="仿宋"/>
          <w:color w:val="auto"/>
          <w:szCs w:val="32"/>
          <w:lang w:val="en-US" w:eastAsia="zh-CN"/>
        </w:rPr>
        <w:t>47.63</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283.14</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283.14</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40.26</w:t>
      </w:r>
      <w:r>
        <w:rPr>
          <w:rFonts w:hint="eastAsia" w:ascii="仿宋_GB2312" w:hAnsi="仿宋"/>
          <w:color w:val="auto"/>
          <w:szCs w:val="32"/>
        </w:rPr>
        <w:t>万元，增长</w:t>
      </w:r>
      <w:r>
        <w:rPr>
          <w:rFonts w:hint="eastAsia" w:ascii="仿宋_GB2312" w:hAnsi="仿宋"/>
          <w:color w:val="auto"/>
          <w:szCs w:val="32"/>
          <w:lang w:val="en-US" w:eastAsia="zh-CN"/>
        </w:rPr>
        <w:t>16.58</w:t>
      </w:r>
      <w:r>
        <w:rPr>
          <w:rFonts w:hint="eastAsia" w:ascii="仿宋_GB2312" w:hAnsi="仿宋"/>
          <w:color w:val="auto"/>
          <w:szCs w:val="32"/>
        </w:rPr>
        <w:t>%，主要原因：</w:t>
      </w:r>
      <w:r>
        <w:rPr>
          <w:rFonts w:hint="eastAsia" w:ascii="仿宋_GB2312" w:hAnsi="仿宋"/>
          <w:color w:val="auto"/>
          <w:szCs w:val="32"/>
          <w:lang w:val="en-US" w:eastAsia="zh-CN"/>
        </w:rPr>
        <w:t>2023</w:t>
      </w:r>
      <w:r>
        <w:rPr>
          <w:rFonts w:hint="eastAsia" w:ascii="仿宋_GB2312" w:hAnsi="仿宋"/>
          <w:color w:val="auto"/>
          <w:szCs w:val="32"/>
          <w:lang w:eastAsia="zh-CN"/>
        </w:rPr>
        <w:t>年捐赠收入增加，使得当年非税收入较多，收入增加导致支出相应增加</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253.13</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88.23</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年相比，一般公共预算财政拨款支出增加</w:t>
      </w:r>
      <w:r>
        <w:rPr>
          <w:rFonts w:hint="eastAsia" w:ascii="仿宋_GB2312" w:hAnsi="仿宋_GB2312" w:cs="仿宋_GB2312"/>
          <w:b w:val="0"/>
          <w:bCs/>
          <w:color w:val="auto"/>
          <w:sz w:val="32"/>
          <w:szCs w:val="32"/>
          <w:lang w:val="en-US" w:eastAsia="zh-CN"/>
        </w:rPr>
        <w:t>46.93</w:t>
      </w:r>
      <w:r>
        <w:rPr>
          <w:rFonts w:hint="eastAsia" w:ascii="仿宋_GB2312" w:hAnsi="仿宋_GB2312" w:eastAsia="仿宋_GB2312" w:cs="仿宋_GB2312"/>
          <w:b w:val="0"/>
          <w:bCs/>
          <w:color w:val="auto"/>
          <w:sz w:val="32"/>
          <w:szCs w:val="32"/>
          <w:lang w:eastAsia="zh-CN"/>
        </w:rPr>
        <w:t>万元，增长</w:t>
      </w:r>
      <w:r>
        <w:rPr>
          <w:rFonts w:hint="eastAsia" w:ascii="仿宋_GB2312" w:hAnsi="仿宋_GB2312" w:cs="仿宋_GB2312"/>
          <w:b w:val="0"/>
          <w:bCs/>
          <w:color w:val="auto"/>
          <w:sz w:val="32"/>
          <w:szCs w:val="32"/>
          <w:lang w:val="en-US" w:eastAsia="zh-CN"/>
        </w:rPr>
        <w:t>22.76</w:t>
      </w:r>
      <w:r>
        <w:rPr>
          <w:rFonts w:hint="eastAsia" w:ascii="仿宋_GB2312" w:hAnsi="仿宋_GB2312" w:eastAsia="仿宋_GB2312" w:cs="仿宋_GB2312"/>
          <w:b w:val="0"/>
          <w:bCs/>
          <w:color w:val="auto"/>
          <w:sz w:val="32"/>
          <w:szCs w:val="32"/>
          <w:lang w:eastAsia="zh-CN"/>
        </w:rPr>
        <w:t>%。主要原因</w:t>
      </w:r>
      <w:r>
        <w:rPr>
          <w:rFonts w:hint="eastAsia" w:ascii="仿宋_GB2312" w:hAnsi="仿宋"/>
          <w:color w:val="auto"/>
          <w:szCs w:val="32"/>
          <w:lang w:val="en-US" w:eastAsia="zh-CN"/>
        </w:rPr>
        <w:t>2023年</w:t>
      </w:r>
      <w:r>
        <w:rPr>
          <w:rFonts w:hint="eastAsia" w:ascii="仿宋_GB2312" w:hAnsi="仿宋"/>
          <w:color w:val="auto"/>
          <w:szCs w:val="32"/>
          <w:lang w:eastAsia="zh-CN"/>
        </w:rPr>
        <w:t>捐赠收入增加，使得当年非税收入较多，收入增加导致支出相应增加</w:t>
      </w:r>
      <w:r>
        <w:rPr>
          <w:rFonts w:hint="eastAsia" w:ascii="仿宋_GB2312" w:hAnsi="仿宋_GB2312" w:eastAsia="仿宋_GB2312" w:cs="仿宋_GB2312"/>
          <w:b w:val="0"/>
          <w:bCs/>
          <w:color w:val="auto"/>
          <w:sz w:val="32"/>
          <w:szCs w:val="32"/>
          <w:lang w:eastAsia="zh-CN"/>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253.13</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0.30</w:t>
      </w:r>
      <w:r>
        <w:rPr>
          <w:rFonts w:hint="eastAsia" w:ascii="仿宋_GB2312" w:hAnsi="仿宋"/>
          <w:color w:val="auto"/>
          <w:szCs w:val="32"/>
        </w:rPr>
        <w:t>万元，占</w:t>
      </w:r>
      <w:r>
        <w:rPr>
          <w:rFonts w:hint="eastAsia" w:ascii="仿宋_GB2312" w:hAnsi="仿宋"/>
          <w:color w:val="auto"/>
          <w:szCs w:val="32"/>
          <w:lang w:val="en-US" w:eastAsia="zh-CN"/>
        </w:rPr>
        <w:t>0.12</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239.55</w:t>
      </w:r>
      <w:r>
        <w:rPr>
          <w:rFonts w:hint="eastAsia" w:ascii="仿宋_GB2312" w:hAnsi="仿宋"/>
          <w:color w:val="auto"/>
          <w:szCs w:val="32"/>
        </w:rPr>
        <w:t>万元，占</w:t>
      </w:r>
      <w:r>
        <w:rPr>
          <w:rFonts w:hint="eastAsia" w:ascii="仿宋_GB2312" w:hAnsi="仿宋"/>
          <w:color w:val="auto"/>
          <w:szCs w:val="32"/>
          <w:lang w:val="en-US" w:eastAsia="zh-CN"/>
        </w:rPr>
        <w:t>94.64</w:t>
      </w:r>
      <w:r>
        <w:rPr>
          <w:rFonts w:hint="eastAsia" w:ascii="仿宋_GB2312" w:hAnsi="仿宋"/>
          <w:color w:val="auto"/>
          <w:szCs w:val="32"/>
        </w:rPr>
        <w:t>%；</w:t>
      </w:r>
      <w:r>
        <w:rPr>
          <w:rFonts w:hint="eastAsia" w:ascii="仿宋_GB2312" w:hAnsi="仿宋"/>
          <w:b/>
          <w:color w:val="auto"/>
          <w:szCs w:val="32"/>
          <w:lang w:eastAsia="zh-CN"/>
        </w:rPr>
        <w:t>卫生健康支出</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4.38</w:t>
      </w:r>
      <w:r>
        <w:rPr>
          <w:rFonts w:hint="eastAsia" w:ascii="仿宋_GB2312" w:hAnsi="仿宋"/>
          <w:color w:val="auto"/>
          <w:szCs w:val="32"/>
        </w:rPr>
        <w:t>万元，占</w:t>
      </w:r>
      <w:r>
        <w:rPr>
          <w:rFonts w:hint="eastAsia" w:ascii="仿宋_GB2312" w:hAnsi="仿宋"/>
          <w:color w:val="auto"/>
          <w:szCs w:val="32"/>
          <w:lang w:val="en-US" w:eastAsia="zh-CN"/>
        </w:rPr>
        <w:t>1.73</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8.90</w:t>
      </w:r>
      <w:r>
        <w:rPr>
          <w:rFonts w:hint="eastAsia" w:ascii="仿宋_GB2312" w:hAnsi="仿宋"/>
          <w:color w:val="auto"/>
          <w:szCs w:val="32"/>
        </w:rPr>
        <w:t>万元，占</w:t>
      </w:r>
      <w:r>
        <w:rPr>
          <w:rFonts w:hint="eastAsia" w:ascii="仿宋_GB2312" w:hAnsi="仿宋"/>
          <w:color w:val="auto"/>
          <w:szCs w:val="32"/>
          <w:lang w:val="en-US" w:eastAsia="zh-CN"/>
        </w:rPr>
        <w:t>3.51</w:t>
      </w:r>
      <w:r>
        <w:rPr>
          <w:rFonts w:hint="eastAsia" w:ascii="仿宋_GB2312" w:hAnsi="仿宋"/>
          <w:color w:val="auto"/>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248.59</w:t>
      </w:r>
      <w:r>
        <w:rPr>
          <w:rFonts w:hint="eastAsia" w:ascii="仿宋_GB2312" w:hAnsi="仿宋"/>
          <w:color w:val="auto"/>
          <w:szCs w:val="32"/>
        </w:rPr>
        <w:t>万元，支出决算为</w:t>
      </w:r>
      <w:r>
        <w:rPr>
          <w:rFonts w:hint="eastAsia" w:ascii="仿宋_GB2312" w:hAnsi="仿宋"/>
          <w:color w:val="auto"/>
          <w:szCs w:val="32"/>
          <w:lang w:val="en-US" w:eastAsia="zh-CN"/>
        </w:rPr>
        <w:t>253.13</w:t>
      </w:r>
      <w:r>
        <w:rPr>
          <w:rFonts w:hint="eastAsia" w:ascii="仿宋_GB2312" w:hAnsi="仿宋"/>
          <w:color w:val="auto"/>
          <w:szCs w:val="32"/>
        </w:rPr>
        <w:t>元，完成年初预算的</w:t>
      </w:r>
      <w:r>
        <w:rPr>
          <w:rFonts w:hint="eastAsia" w:ascii="仿宋_GB2312" w:hAnsi="仿宋"/>
          <w:color w:val="auto"/>
          <w:szCs w:val="32"/>
          <w:lang w:val="en-US" w:eastAsia="zh-CN"/>
        </w:rPr>
        <w:t>101.83</w:t>
      </w:r>
      <w:r>
        <w:rPr>
          <w:rFonts w:hint="eastAsia" w:ascii="仿宋_GB2312" w:hAnsi="仿宋"/>
          <w:color w:val="auto"/>
          <w:szCs w:val="32"/>
        </w:rPr>
        <w:t>%。决算数大于预算数的主要原因:追加在职人员考核奖</w:t>
      </w:r>
      <w:r>
        <w:rPr>
          <w:rFonts w:hint="eastAsia" w:ascii="仿宋_GB2312" w:hAnsi="仿宋"/>
          <w:color w:val="auto"/>
          <w:szCs w:val="32"/>
          <w:lang w:eastAsia="zh-CN"/>
        </w:rPr>
        <w:t>、退休人员慰问金</w:t>
      </w:r>
      <w:r>
        <w:rPr>
          <w:rFonts w:hint="eastAsia" w:ascii="仿宋_GB2312" w:hAnsi="仿宋"/>
          <w:color w:val="auto"/>
          <w:szCs w:val="32"/>
        </w:rPr>
        <w:t>和</w:t>
      </w:r>
      <w:r>
        <w:rPr>
          <w:rFonts w:hint="eastAsia" w:ascii="仿宋_GB2312" w:hAnsi="仿宋"/>
          <w:color w:val="auto"/>
          <w:szCs w:val="32"/>
          <w:lang w:eastAsia="zh-CN"/>
        </w:rPr>
        <w:t>正常</w:t>
      </w:r>
      <w:r>
        <w:rPr>
          <w:rFonts w:hint="eastAsia" w:ascii="仿宋_GB2312" w:hAnsi="仿宋"/>
          <w:color w:val="auto"/>
          <w:szCs w:val="32"/>
        </w:rPr>
        <w:t>调资等经费。其中:基本支出</w:t>
      </w:r>
      <w:r>
        <w:rPr>
          <w:rFonts w:hint="eastAsia" w:ascii="仿宋_GB2312" w:hAnsi="仿宋"/>
          <w:color w:val="auto"/>
          <w:szCs w:val="32"/>
          <w:lang w:val="en-US" w:eastAsia="zh-CN"/>
        </w:rPr>
        <w:t>141.89</w:t>
      </w:r>
      <w:r>
        <w:rPr>
          <w:rFonts w:hint="eastAsia" w:ascii="仿宋_GB2312" w:hAnsi="仿宋"/>
          <w:color w:val="auto"/>
          <w:szCs w:val="32"/>
        </w:rPr>
        <w:t>万元，占</w:t>
      </w:r>
      <w:r>
        <w:rPr>
          <w:rFonts w:hint="eastAsia" w:ascii="仿宋_GB2312" w:hAnsi="仿宋"/>
          <w:color w:val="auto"/>
          <w:szCs w:val="32"/>
          <w:lang w:val="en-US" w:eastAsia="zh-CN"/>
        </w:rPr>
        <w:t>56.05</w:t>
      </w:r>
      <w:r>
        <w:rPr>
          <w:rFonts w:hint="eastAsia" w:ascii="仿宋_GB2312" w:hAnsi="仿宋"/>
          <w:color w:val="auto"/>
          <w:szCs w:val="32"/>
        </w:rPr>
        <w:t>%；项目支出</w:t>
      </w:r>
      <w:r>
        <w:rPr>
          <w:rFonts w:hint="eastAsia" w:ascii="仿宋_GB2312" w:hAnsi="仿宋"/>
          <w:color w:val="auto"/>
          <w:szCs w:val="32"/>
          <w:lang w:val="en-US" w:eastAsia="zh-CN"/>
        </w:rPr>
        <w:t>111.24</w:t>
      </w:r>
      <w:r>
        <w:rPr>
          <w:rFonts w:hint="eastAsia" w:ascii="仿宋_GB2312" w:hAnsi="仿宋"/>
          <w:color w:val="auto"/>
          <w:szCs w:val="32"/>
        </w:rPr>
        <w:t>万元，占</w:t>
      </w:r>
      <w:r>
        <w:rPr>
          <w:rFonts w:hint="eastAsia" w:ascii="仿宋_GB2312" w:hAnsi="仿宋"/>
          <w:color w:val="auto"/>
          <w:szCs w:val="32"/>
          <w:lang w:val="en-US" w:eastAsia="zh-CN"/>
        </w:rPr>
        <w:t>43.95</w:t>
      </w:r>
      <w:r>
        <w:rPr>
          <w:rFonts w:hint="eastAsia" w:ascii="仿宋_GB2312" w:hAnsi="仿宋"/>
          <w:color w:val="auto"/>
          <w:szCs w:val="32"/>
        </w:rPr>
        <w:t>%。具体情况如下：</w:t>
      </w:r>
    </w:p>
    <w:p>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一般公共服务（类）其他共产党事务支出（款）其他共产党事务支出（项）</w:t>
      </w:r>
      <w:r>
        <w:rPr>
          <w:rFonts w:hint="eastAsia" w:ascii="仿宋_GB2312" w:hAnsi="仿宋"/>
          <w:color w:val="auto"/>
          <w:szCs w:val="32"/>
        </w:rPr>
        <w:t>。年初预算为</w:t>
      </w:r>
      <w:r>
        <w:rPr>
          <w:rFonts w:hint="eastAsia" w:ascii="仿宋_GB2312" w:hAnsi="仿宋"/>
          <w:color w:val="auto"/>
          <w:szCs w:val="32"/>
          <w:lang w:val="en-US" w:eastAsia="zh-CN"/>
        </w:rPr>
        <w:t>0.30</w:t>
      </w:r>
      <w:r>
        <w:rPr>
          <w:rFonts w:hint="eastAsia" w:ascii="仿宋_GB2312" w:hAnsi="仿宋"/>
          <w:color w:val="auto"/>
          <w:szCs w:val="32"/>
        </w:rPr>
        <w:t>万元，支出决算为</w:t>
      </w:r>
      <w:r>
        <w:rPr>
          <w:rFonts w:hint="eastAsia" w:ascii="仿宋_GB2312" w:hAnsi="仿宋"/>
          <w:color w:val="auto"/>
          <w:szCs w:val="32"/>
          <w:lang w:val="en-US" w:eastAsia="zh-CN"/>
        </w:rPr>
        <w:t>0.30</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.社会保障和就业支出（类）行政事业单位养老支出（款）行政单位离退休（项）</w:t>
      </w:r>
      <w:r>
        <w:rPr>
          <w:rFonts w:hint="eastAsia" w:ascii="仿宋_GB2312" w:hAnsi="仿宋"/>
          <w:color w:val="auto"/>
          <w:szCs w:val="32"/>
        </w:rPr>
        <w:t>。年初预算为</w:t>
      </w:r>
      <w:r>
        <w:rPr>
          <w:rFonts w:hint="eastAsia" w:ascii="仿宋_GB2312" w:hAnsi="仿宋"/>
          <w:color w:val="auto"/>
          <w:szCs w:val="32"/>
          <w:lang w:val="en-US" w:eastAsia="zh-CN"/>
        </w:rPr>
        <w:t>6.10</w:t>
      </w:r>
      <w:r>
        <w:rPr>
          <w:rFonts w:hint="eastAsia" w:ascii="仿宋_GB2312" w:hAnsi="仿宋"/>
          <w:color w:val="auto"/>
          <w:szCs w:val="32"/>
        </w:rPr>
        <w:t>万元，支出决算为</w:t>
      </w:r>
      <w:r>
        <w:rPr>
          <w:rFonts w:hint="eastAsia" w:ascii="仿宋_GB2312" w:hAnsi="仿宋"/>
          <w:color w:val="auto"/>
          <w:szCs w:val="32"/>
          <w:lang w:val="en-US" w:eastAsia="zh-CN"/>
        </w:rPr>
        <w:t>6.75</w:t>
      </w:r>
      <w:r>
        <w:rPr>
          <w:rFonts w:hint="eastAsia" w:ascii="仿宋_GB2312" w:hAnsi="仿宋"/>
          <w:color w:val="auto"/>
          <w:szCs w:val="32"/>
        </w:rPr>
        <w:t>万元，完成年初预算的</w:t>
      </w:r>
      <w:r>
        <w:rPr>
          <w:rFonts w:hint="eastAsia" w:ascii="仿宋_GB2312" w:hAnsi="仿宋"/>
          <w:color w:val="auto"/>
          <w:szCs w:val="32"/>
          <w:lang w:val="en-US" w:eastAsia="zh-CN"/>
        </w:rPr>
        <w:t>110.66</w:t>
      </w:r>
      <w:r>
        <w:rPr>
          <w:rFonts w:hint="eastAsia" w:ascii="仿宋_GB2312" w:hAnsi="仿宋"/>
          <w:color w:val="auto"/>
          <w:szCs w:val="32"/>
        </w:rPr>
        <w:t>%，决算数大于预算数的主要原因是追加退休人员</w:t>
      </w:r>
      <w:r>
        <w:rPr>
          <w:rFonts w:hint="eastAsia" w:ascii="仿宋_GB2312" w:hAnsi="仿宋"/>
          <w:color w:val="auto"/>
          <w:szCs w:val="32"/>
          <w:lang w:val="en-US" w:eastAsia="zh-CN"/>
        </w:rPr>
        <w:t>相关支出</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rPr>
        <w:t>3.社会保障和就业支出（类）行政事业单位养老支出（款） 机关事业单位基本养老保险缴费支出（项）。</w:t>
      </w:r>
      <w:r>
        <w:rPr>
          <w:rFonts w:hint="eastAsia" w:ascii="仿宋_GB2312" w:hAnsi="仿宋"/>
          <w:color w:val="auto"/>
          <w:szCs w:val="32"/>
        </w:rPr>
        <w:t>年初预算为</w:t>
      </w:r>
      <w:r>
        <w:rPr>
          <w:rFonts w:hint="eastAsia" w:ascii="仿宋_GB2312" w:hAnsi="仿宋"/>
          <w:color w:val="auto"/>
          <w:szCs w:val="32"/>
          <w:lang w:val="en-US" w:eastAsia="zh-CN"/>
        </w:rPr>
        <w:t>11.06</w:t>
      </w:r>
      <w:r>
        <w:rPr>
          <w:rFonts w:hint="eastAsia" w:ascii="仿宋_GB2312" w:hAnsi="仿宋"/>
          <w:color w:val="auto"/>
          <w:szCs w:val="32"/>
        </w:rPr>
        <w:t>万元，支出决算为</w:t>
      </w:r>
      <w:r>
        <w:rPr>
          <w:rFonts w:hint="eastAsia" w:ascii="仿宋_GB2312" w:hAnsi="仿宋"/>
          <w:color w:val="auto"/>
          <w:szCs w:val="32"/>
          <w:lang w:val="en-US" w:eastAsia="zh-CN"/>
        </w:rPr>
        <w:t>15.08</w:t>
      </w:r>
      <w:r>
        <w:rPr>
          <w:rFonts w:hint="eastAsia" w:ascii="仿宋_GB2312" w:hAnsi="仿宋"/>
          <w:color w:val="auto"/>
          <w:szCs w:val="32"/>
        </w:rPr>
        <w:t>万元，完成年初预算的</w:t>
      </w:r>
      <w:r>
        <w:rPr>
          <w:rFonts w:hint="eastAsia" w:ascii="仿宋_GB2312" w:hAnsi="仿宋"/>
          <w:color w:val="auto"/>
          <w:szCs w:val="32"/>
          <w:lang w:val="en-US" w:eastAsia="zh-CN"/>
        </w:rPr>
        <w:t>136.35</w:t>
      </w:r>
      <w:r>
        <w:rPr>
          <w:rFonts w:hint="eastAsia" w:ascii="仿宋_GB2312" w:hAnsi="仿宋"/>
          <w:color w:val="auto"/>
          <w:szCs w:val="32"/>
        </w:rPr>
        <w:t>%，决算数大于预算数的主要原因是</w:t>
      </w:r>
      <w:r>
        <w:rPr>
          <w:rFonts w:hint="eastAsia" w:ascii="仿宋_GB2312" w:hAnsi="仿宋"/>
          <w:color w:val="auto"/>
          <w:szCs w:val="32"/>
          <w:lang w:eastAsia="zh-CN"/>
        </w:rPr>
        <w:t>养老保险缴费基数结构调整，根据社保局要求补缴</w:t>
      </w:r>
      <w:r>
        <w:rPr>
          <w:rFonts w:hint="eastAsia" w:ascii="仿宋_GB2312" w:hAnsi="仿宋"/>
          <w:color w:val="auto"/>
          <w:szCs w:val="32"/>
          <w:lang w:val="en-US" w:eastAsia="zh-CN"/>
        </w:rPr>
        <w:t>2022年度1-10月养老保险</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rPr>
        <w:t>4.社会保障和就业支出（类）行政事业单位养老支出（款） 机关事业单位职业年金缴费支出（项）。</w:t>
      </w:r>
      <w:r>
        <w:rPr>
          <w:rFonts w:hint="eastAsia" w:ascii="仿宋_GB2312" w:hAnsi="仿宋"/>
          <w:color w:val="auto"/>
          <w:szCs w:val="32"/>
        </w:rPr>
        <w:t>年初预算为</w:t>
      </w:r>
      <w:r>
        <w:rPr>
          <w:rFonts w:hint="eastAsia" w:ascii="仿宋_GB2312" w:hAnsi="仿宋"/>
          <w:color w:val="auto"/>
          <w:szCs w:val="32"/>
          <w:lang w:val="en-US" w:eastAsia="zh-CN"/>
        </w:rPr>
        <w:t>5.53</w:t>
      </w:r>
      <w:r>
        <w:rPr>
          <w:rFonts w:hint="eastAsia" w:ascii="仿宋_GB2312" w:hAnsi="仿宋"/>
          <w:color w:val="auto"/>
          <w:szCs w:val="32"/>
        </w:rPr>
        <w:t>万元，支出决算为</w:t>
      </w:r>
      <w:r>
        <w:rPr>
          <w:rFonts w:hint="eastAsia" w:ascii="仿宋_GB2312" w:hAnsi="仿宋"/>
          <w:color w:val="auto"/>
          <w:szCs w:val="32"/>
          <w:lang w:val="en-US" w:eastAsia="zh-CN"/>
        </w:rPr>
        <w:t>7.54</w:t>
      </w:r>
      <w:r>
        <w:rPr>
          <w:rFonts w:hint="eastAsia" w:ascii="仿宋_GB2312" w:hAnsi="仿宋"/>
          <w:color w:val="auto"/>
          <w:szCs w:val="32"/>
        </w:rPr>
        <w:t>万元，完成年初预算的</w:t>
      </w:r>
      <w:r>
        <w:rPr>
          <w:rFonts w:hint="eastAsia" w:ascii="仿宋_GB2312" w:hAnsi="仿宋"/>
          <w:color w:val="auto"/>
          <w:szCs w:val="32"/>
          <w:lang w:val="en-US" w:eastAsia="zh-CN"/>
        </w:rPr>
        <w:t>136.35</w:t>
      </w:r>
      <w:r>
        <w:rPr>
          <w:rFonts w:hint="eastAsia" w:ascii="仿宋_GB2312" w:hAnsi="仿宋"/>
          <w:color w:val="auto"/>
          <w:szCs w:val="32"/>
        </w:rPr>
        <w:t>%，决算数大于预算数的主要原因是</w:t>
      </w:r>
      <w:r>
        <w:rPr>
          <w:rFonts w:hint="eastAsia" w:ascii="仿宋_GB2312" w:hAnsi="仿宋"/>
          <w:color w:val="auto"/>
          <w:szCs w:val="32"/>
          <w:lang w:eastAsia="zh-CN"/>
        </w:rPr>
        <w:t>职业年金缴费基数结构调整，根据社保局要求补缴</w:t>
      </w:r>
      <w:r>
        <w:rPr>
          <w:rFonts w:hint="eastAsia" w:ascii="仿宋_GB2312" w:hAnsi="仿宋"/>
          <w:color w:val="auto"/>
          <w:szCs w:val="32"/>
          <w:lang w:val="en-US" w:eastAsia="zh-CN"/>
        </w:rPr>
        <w:t>2022年度1-10月</w:t>
      </w:r>
      <w:r>
        <w:rPr>
          <w:rFonts w:hint="eastAsia" w:ascii="仿宋_GB2312" w:hAnsi="仿宋"/>
          <w:color w:val="auto"/>
          <w:szCs w:val="32"/>
          <w:lang w:eastAsia="zh-CN"/>
        </w:rPr>
        <w:t>职业年金</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rPr>
        <w:t>5</w:t>
      </w:r>
      <w:r>
        <w:rPr>
          <w:rFonts w:hint="eastAsia" w:ascii="仿宋_GB2312" w:hAnsi="仿宋"/>
          <w:color w:val="auto"/>
          <w:szCs w:val="32"/>
          <w:lang w:val="en-US" w:eastAsia="zh-CN"/>
        </w:rPr>
        <w:t>.</w:t>
      </w:r>
      <w:r>
        <w:rPr>
          <w:rFonts w:hint="eastAsia" w:ascii="仿宋_GB2312" w:hAnsi="仿宋"/>
          <w:b/>
          <w:color w:val="auto"/>
          <w:szCs w:val="32"/>
        </w:rPr>
        <w:t>社会保障和就业支出（类）红十字事业（款）行政运行（项）。</w:t>
      </w:r>
      <w:r>
        <w:rPr>
          <w:rFonts w:hint="eastAsia" w:ascii="仿宋_GB2312" w:hAnsi="仿宋"/>
          <w:color w:val="auto"/>
          <w:szCs w:val="32"/>
        </w:rPr>
        <w:t>年初预算为</w:t>
      </w:r>
      <w:r>
        <w:rPr>
          <w:rFonts w:hint="eastAsia" w:ascii="仿宋_GB2312" w:hAnsi="仿宋"/>
          <w:color w:val="auto"/>
          <w:szCs w:val="32"/>
          <w:lang w:val="en-US" w:eastAsia="zh-CN"/>
        </w:rPr>
        <w:t>89.13</w:t>
      </w:r>
      <w:r>
        <w:rPr>
          <w:rFonts w:hint="eastAsia" w:ascii="仿宋_GB2312" w:hAnsi="仿宋"/>
          <w:color w:val="auto"/>
          <w:szCs w:val="32"/>
        </w:rPr>
        <w:t>万元，支出决算为</w:t>
      </w:r>
      <w:r>
        <w:rPr>
          <w:rFonts w:hint="eastAsia" w:ascii="仿宋_GB2312" w:hAnsi="仿宋"/>
          <w:color w:val="auto"/>
          <w:szCs w:val="32"/>
          <w:lang w:val="en-US" w:eastAsia="zh-CN"/>
        </w:rPr>
        <w:t>98.94</w:t>
      </w:r>
      <w:r>
        <w:rPr>
          <w:rFonts w:hint="eastAsia" w:ascii="仿宋_GB2312" w:hAnsi="仿宋"/>
          <w:color w:val="auto"/>
          <w:szCs w:val="32"/>
        </w:rPr>
        <w:t>万元，完成年初预算的</w:t>
      </w:r>
      <w:r>
        <w:rPr>
          <w:rFonts w:hint="eastAsia" w:ascii="仿宋_GB2312" w:hAnsi="仿宋"/>
          <w:color w:val="auto"/>
          <w:szCs w:val="32"/>
          <w:lang w:val="en-US" w:eastAsia="zh-CN"/>
        </w:rPr>
        <w:t>111.01</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追拨</w:t>
      </w:r>
      <w:r>
        <w:rPr>
          <w:rFonts w:hint="eastAsia" w:ascii="仿宋_GB2312" w:hAnsi="仿宋"/>
          <w:color w:val="auto"/>
          <w:szCs w:val="32"/>
        </w:rPr>
        <w:t>人员</w:t>
      </w:r>
      <w:r>
        <w:rPr>
          <w:rFonts w:hint="eastAsia" w:ascii="仿宋_GB2312" w:hAnsi="仿宋"/>
          <w:color w:val="auto"/>
          <w:szCs w:val="32"/>
          <w:lang w:val="en-US" w:eastAsia="zh-CN"/>
        </w:rPr>
        <w:t>支出</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lang w:val="en-US" w:eastAsia="zh-CN"/>
        </w:rPr>
        <w:t>6.</w:t>
      </w:r>
      <w:r>
        <w:rPr>
          <w:rFonts w:hint="eastAsia" w:ascii="仿宋_GB2312" w:hAnsi="仿宋"/>
          <w:b/>
          <w:color w:val="auto"/>
          <w:szCs w:val="32"/>
        </w:rPr>
        <w:t>社会保障和就业支出（类）红十字事业（款）其他红十字事业支出（项）。</w:t>
      </w:r>
      <w:r>
        <w:rPr>
          <w:rFonts w:hint="eastAsia" w:ascii="仿宋_GB2312" w:hAnsi="仿宋"/>
          <w:color w:val="auto"/>
          <w:szCs w:val="32"/>
        </w:rPr>
        <w:t>年初预算为</w:t>
      </w:r>
      <w:r>
        <w:rPr>
          <w:rFonts w:hint="eastAsia" w:ascii="仿宋_GB2312" w:hAnsi="仿宋"/>
          <w:color w:val="auto"/>
          <w:szCs w:val="32"/>
          <w:lang w:val="en-US" w:eastAsia="zh-CN"/>
        </w:rPr>
        <w:t>123.20</w:t>
      </w:r>
      <w:r>
        <w:rPr>
          <w:rFonts w:hint="eastAsia" w:ascii="仿宋_GB2312" w:hAnsi="仿宋"/>
          <w:color w:val="auto"/>
          <w:szCs w:val="32"/>
        </w:rPr>
        <w:t>万元，支出决算为</w:t>
      </w:r>
      <w:r>
        <w:rPr>
          <w:rFonts w:hint="eastAsia" w:ascii="仿宋_GB2312" w:hAnsi="仿宋"/>
          <w:color w:val="auto"/>
          <w:szCs w:val="32"/>
          <w:lang w:val="en-US" w:eastAsia="zh-CN"/>
        </w:rPr>
        <w:t>111.24</w:t>
      </w:r>
      <w:r>
        <w:rPr>
          <w:rFonts w:hint="eastAsia" w:ascii="仿宋_GB2312" w:hAnsi="仿宋"/>
          <w:color w:val="auto"/>
          <w:szCs w:val="32"/>
        </w:rPr>
        <w:t>万元，完成年初预算的</w:t>
      </w:r>
      <w:r>
        <w:rPr>
          <w:rFonts w:hint="eastAsia" w:ascii="仿宋_GB2312" w:hAnsi="仿宋"/>
          <w:color w:val="auto"/>
          <w:szCs w:val="32"/>
          <w:lang w:val="en-US" w:eastAsia="zh-CN"/>
        </w:rPr>
        <w:t>90.29</w:t>
      </w:r>
      <w:r>
        <w:rPr>
          <w:rFonts w:hint="eastAsia" w:ascii="仿宋_GB2312" w:hAnsi="仿宋"/>
          <w:color w:val="auto"/>
          <w:szCs w:val="32"/>
        </w:rPr>
        <w:t>%，决算数</w:t>
      </w:r>
      <w:r>
        <w:rPr>
          <w:rFonts w:hint="eastAsia" w:ascii="仿宋_GB2312" w:hAnsi="仿宋"/>
          <w:color w:val="auto"/>
          <w:szCs w:val="32"/>
          <w:lang w:eastAsia="zh-CN"/>
        </w:rPr>
        <w:t>小</w:t>
      </w:r>
      <w:r>
        <w:rPr>
          <w:rFonts w:hint="eastAsia" w:ascii="仿宋_GB2312" w:hAnsi="仿宋"/>
          <w:color w:val="auto"/>
          <w:szCs w:val="32"/>
        </w:rPr>
        <w:t>于预算数的主要原因是</w:t>
      </w:r>
      <w:r>
        <w:rPr>
          <w:rFonts w:hint="eastAsia" w:ascii="仿宋_GB2312" w:hAnsi="仿宋"/>
          <w:color w:val="auto"/>
          <w:szCs w:val="32"/>
          <w:lang w:eastAsia="zh-CN"/>
        </w:rPr>
        <w:t>当年实际捐赠收入未达到年初预算数</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lang w:val="en-US" w:eastAsia="zh-CN"/>
        </w:rPr>
        <w:t>7.卫生健康支出（类）行政事业单位医疗（款）行政单位医疗（项）</w:t>
      </w:r>
      <w:r>
        <w:rPr>
          <w:rFonts w:hint="eastAsia" w:ascii="仿宋_GB2312" w:hAnsi="仿宋"/>
          <w:b/>
          <w:color w:val="auto"/>
          <w:szCs w:val="32"/>
        </w:rPr>
        <w:t>。</w:t>
      </w:r>
      <w:r>
        <w:rPr>
          <w:rFonts w:hint="eastAsia" w:ascii="仿宋_GB2312" w:hAnsi="仿宋"/>
          <w:color w:val="auto"/>
          <w:szCs w:val="32"/>
        </w:rPr>
        <w:t>年初预算为</w:t>
      </w:r>
      <w:r>
        <w:rPr>
          <w:rFonts w:hint="eastAsia" w:ascii="仿宋_GB2312" w:hAnsi="仿宋"/>
          <w:color w:val="auto"/>
          <w:szCs w:val="32"/>
          <w:lang w:val="en-US" w:eastAsia="zh-CN"/>
        </w:rPr>
        <w:t>4.38</w:t>
      </w:r>
      <w:r>
        <w:rPr>
          <w:rFonts w:hint="eastAsia" w:ascii="仿宋_GB2312" w:hAnsi="仿宋"/>
          <w:color w:val="auto"/>
          <w:szCs w:val="32"/>
        </w:rPr>
        <w:t>万元，支出决算为</w:t>
      </w:r>
      <w:r>
        <w:rPr>
          <w:rFonts w:hint="eastAsia" w:ascii="仿宋_GB2312" w:hAnsi="仿宋"/>
          <w:color w:val="auto"/>
          <w:szCs w:val="32"/>
          <w:lang w:val="en-US" w:eastAsia="zh-CN"/>
        </w:rPr>
        <w:t>4.38</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ind w:firstLine="643" w:firstLineChars="200"/>
        <w:rPr>
          <w:rFonts w:hint="eastAsia" w:ascii="仿宋_GB2312" w:hAnsi="仿宋"/>
          <w:color w:val="auto"/>
          <w:szCs w:val="32"/>
        </w:rPr>
      </w:pPr>
      <w:r>
        <w:rPr>
          <w:rFonts w:hint="eastAsia" w:ascii="仿宋_GB2312" w:hAnsi="仿宋"/>
          <w:b/>
          <w:color w:val="auto"/>
          <w:szCs w:val="32"/>
          <w:lang w:val="en-US" w:eastAsia="zh-CN"/>
        </w:rPr>
        <w:t>8.住房保障支出（类）住房改革支出（款） 住房公积金（项）</w:t>
      </w:r>
      <w:r>
        <w:rPr>
          <w:rFonts w:hint="eastAsia" w:ascii="仿宋_GB2312" w:hAnsi="仿宋"/>
          <w:b/>
          <w:color w:val="auto"/>
          <w:szCs w:val="32"/>
        </w:rPr>
        <w:t>。</w:t>
      </w:r>
      <w:r>
        <w:rPr>
          <w:rFonts w:hint="eastAsia" w:ascii="仿宋_GB2312" w:hAnsi="仿宋"/>
          <w:color w:val="auto"/>
          <w:szCs w:val="32"/>
        </w:rPr>
        <w:t>年初预算为</w:t>
      </w:r>
      <w:r>
        <w:rPr>
          <w:rFonts w:hint="eastAsia" w:ascii="仿宋_GB2312" w:hAnsi="仿宋"/>
          <w:color w:val="auto"/>
          <w:szCs w:val="32"/>
          <w:lang w:val="en-US" w:eastAsia="zh-CN"/>
        </w:rPr>
        <w:t>8.90</w:t>
      </w:r>
      <w:r>
        <w:rPr>
          <w:rFonts w:hint="eastAsia" w:ascii="仿宋_GB2312" w:hAnsi="仿宋"/>
          <w:color w:val="auto"/>
          <w:szCs w:val="32"/>
        </w:rPr>
        <w:t>万元，支出决算为</w:t>
      </w:r>
      <w:r>
        <w:rPr>
          <w:rFonts w:hint="eastAsia" w:ascii="仿宋_GB2312" w:hAnsi="仿宋"/>
          <w:color w:val="auto"/>
          <w:szCs w:val="32"/>
          <w:lang w:val="en-US" w:eastAsia="zh-CN"/>
        </w:rPr>
        <w:t>8.90</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141.89</w:t>
      </w:r>
      <w:r>
        <w:rPr>
          <w:rFonts w:hint="eastAsia" w:ascii="仿宋_GB2312" w:hAnsi="仿宋"/>
          <w:color w:val="auto"/>
          <w:szCs w:val="32"/>
        </w:rPr>
        <w:t>万元，其中：人员经费</w:t>
      </w:r>
      <w:r>
        <w:rPr>
          <w:rFonts w:hint="eastAsia" w:ascii="仿宋_GB2312" w:hAnsi="仿宋"/>
          <w:color w:val="auto"/>
          <w:szCs w:val="32"/>
          <w:lang w:val="en-US" w:eastAsia="zh-CN"/>
        </w:rPr>
        <w:t>131.77</w:t>
      </w:r>
      <w:r>
        <w:rPr>
          <w:rFonts w:hint="eastAsia" w:ascii="仿宋_GB2312" w:hAnsi="仿宋"/>
          <w:color w:val="auto"/>
          <w:szCs w:val="32"/>
        </w:rPr>
        <w:t>万元，主要包括:基本工资、津贴补贴、奖金、伙食补助费、机关事业单位基本养老保险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费、职业年金缴费、职工基本医疗保险缴费、公务员医疗补助缴费、其他社会保障缴费、住房公积金、其他工资福利支出、生活补助；公用经费</w:t>
      </w:r>
      <w:r>
        <w:rPr>
          <w:rFonts w:hint="eastAsia" w:ascii="仿宋_GB2312" w:hAnsi="仿宋"/>
          <w:color w:val="auto"/>
          <w:szCs w:val="32"/>
          <w:lang w:val="en-US" w:eastAsia="zh-CN"/>
        </w:rPr>
        <w:t>10.11</w:t>
      </w:r>
      <w:r>
        <w:rPr>
          <w:rFonts w:hint="eastAsia" w:ascii="仿宋_GB2312" w:hAnsi="仿宋"/>
          <w:color w:val="auto"/>
          <w:szCs w:val="32"/>
        </w:rPr>
        <w:t>万元，主要包括：办公费、水费、电费、邮电费、物业管理费、差旅费、公务接待费、劳务费、工会经费、福利费、其他交通费用、</w:t>
      </w:r>
      <w:r>
        <w:rPr>
          <w:rFonts w:hint="eastAsia" w:ascii="仿宋_GB2312" w:hAnsi="仿宋"/>
          <w:color w:val="auto"/>
          <w:szCs w:val="32"/>
          <w:lang w:eastAsia="zh-CN"/>
        </w:rPr>
        <w:t>其他商品和服务支出</w:t>
      </w:r>
      <w:r>
        <w:rPr>
          <w:rFonts w:hint="eastAsia" w:ascii="仿宋_GB2312" w:hAnsi="仿宋"/>
          <w:color w:val="auto"/>
          <w:szCs w:val="32"/>
        </w:rPr>
        <w:t>。</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eastAsia="仿宋_GB2312"/>
          <w:color w:val="auto"/>
          <w:szCs w:val="32"/>
          <w:lang w:eastAsia="zh-CN"/>
        </w:rPr>
      </w:pPr>
      <w:r>
        <w:rPr>
          <w:rFonts w:hint="eastAsia" w:ascii="仿宋_GB2312" w:hAnsi="仿宋"/>
          <w:color w:val="auto"/>
          <w:szCs w:val="32"/>
          <w:lang w:eastAsia="zh-CN"/>
        </w:rPr>
        <w:t>黄山市红十字会</w:t>
      </w:r>
      <w:r>
        <w:rPr>
          <w:rFonts w:hint="eastAsia" w:ascii="仿宋_GB2312" w:hAnsi="仿宋"/>
          <w:color w:val="auto"/>
          <w:szCs w:val="32"/>
        </w:rPr>
        <w:t>没有政府性基金预算收入，也没有使用政府性基金预算安排的支出</w:t>
      </w:r>
      <w:r>
        <w:rPr>
          <w:rFonts w:hint="eastAsia" w:ascii="仿宋_GB2312" w:hAnsi="仿宋"/>
          <w:color w:val="auto"/>
          <w:szCs w:val="32"/>
          <w:lang w:eastAsia="zh-CN"/>
        </w:rPr>
        <w:t>。</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黄山市红十字会没有使用国有资本经营预算财政拨款安排的支出。</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黄山市红十字会</w:t>
      </w:r>
      <w:r>
        <w:rPr>
          <w:rFonts w:hint="eastAsia" w:ascii="仿宋_GB2312" w:hAnsi="仿宋"/>
          <w:color w:val="auto"/>
          <w:szCs w:val="32"/>
        </w:rPr>
        <w:t>机关运行经费支出</w:t>
      </w:r>
      <w:r>
        <w:rPr>
          <w:rFonts w:hint="eastAsia" w:ascii="仿宋_GB2312" w:hAnsi="仿宋"/>
          <w:color w:val="auto"/>
          <w:szCs w:val="32"/>
          <w:lang w:val="en-US" w:eastAsia="zh-CN"/>
        </w:rPr>
        <w:t>10.11</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1.92</w:t>
      </w:r>
      <w:r>
        <w:rPr>
          <w:rFonts w:hint="eastAsia" w:ascii="仿宋_GB2312" w:hAnsi="仿宋"/>
          <w:color w:val="auto"/>
          <w:szCs w:val="32"/>
        </w:rPr>
        <w:t>万元，下降</w:t>
      </w:r>
      <w:r>
        <w:rPr>
          <w:rFonts w:hint="eastAsia" w:ascii="仿宋_GB2312" w:hAnsi="仿宋"/>
          <w:color w:val="auto"/>
          <w:szCs w:val="32"/>
          <w:lang w:val="en-US" w:eastAsia="zh-CN"/>
        </w:rPr>
        <w:t>15.96</w:t>
      </w:r>
      <w:r>
        <w:rPr>
          <w:rFonts w:hint="eastAsia" w:ascii="仿宋_GB2312" w:hAnsi="仿宋"/>
          <w:color w:val="auto"/>
          <w:szCs w:val="32"/>
        </w:rPr>
        <w:t>%，主要原因是</w:t>
      </w:r>
      <w:r>
        <w:rPr>
          <w:rFonts w:hint="eastAsia" w:ascii="仿宋_GB2312" w:hAnsi="仿宋"/>
          <w:color w:val="auto"/>
          <w:szCs w:val="32"/>
          <w:lang w:eastAsia="zh-CN"/>
        </w:rPr>
        <w:t>厉行节约，减少不必要的开支</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黄山市红十字会</w:t>
      </w:r>
      <w:r>
        <w:rPr>
          <w:rFonts w:hint="eastAsia" w:ascii="仿宋_GB2312" w:hAnsi="仿宋"/>
          <w:color w:val="auto"/>
          <w:szCs w:val="32"/>
        </w:rPr>
        <w:t>政府采购支出总额</w:t>
      </w:r>
      <w:r>
        <w:rPr>
          <w:rFonts w:hint="eastAsia" w:ascii="仿宋_GB2312" w:hAnsi="仿宋"/>
          <w:color w:val="auto"/>
          <w:szCs w:val="32"/>
          <w:lang w:val="en-US" w:eastAsia="zh-CN"/>
        </w:rPr>
        <w:t>0.38</w:t>
      </w:r>
      <w:r>
        <w:rPr>
          <w:rFonts w:hint="eastAsia" w:ascii="仿宋_GB2312" w:hAnsi="仿宋"/>
          <w:color w:val="auto"/>
          <w:szCs w:val="32"/>
        </w:rPr>
        <w:t>万元，其中：政府采购货物支出</w:t>
      </w:r>
      <w:r>
        <w:rPr>
          <w:rFonts w:hint="eastAsia" w:ascii="仿宋_GB2312" w:hAnsi="仿宋"/>
          <w:color w:val="auto"/>
          <w:szCs w:val="32"/>
          <w:lang w:val="en-US" w:eastAsia="zh-CN"/>
        </w:rPr>
        <w:t>0.38</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0.38</w:t>
      </w:r>
      <w:r>
        <w:rPr>
          <w:rFonts w:hint="eastAsia" w:ascii="仿宋_GB2312" w:hAnsi="仿宋"/>
          <w:color w:val="auto"/>
          <w:szCs w:val="32"/>
        </w:rPr>
        <w:t>万元，占政府采购支出总额的</w:t>
      </w:r>
      <w:r>
        <w:rPr>
          <w:rFonts w:hint="eastAsia" w:ascii="仿宋_GB2312" w:hAnsi="仿宋"/>
          <w:color w:val="auto"/>
          <w:szCs w:val="32"/>
          <w:lang w:val="en-US" w:eastAsia="zh-CN"/>
        </w:rPr>
        <w:t>100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 w:hAnsi="仿宋" w:eastAsia="仿宋"/>
          <w:color w:val="auto"/>
          <w:sz w:val="32"/>
          <w:lang w:val="en-US" w:eastAsia="zh-CN"/>
        </w:rPr>
        <w:t>0.38</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黄山市红十字会</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adjustRightInd w:val="0"/>
        <w:snapToGrid w:val="0"/>
        <w:spacing w:line="600" w:lineRule="exact"/>
        <w:ind w:firstLine="640" w:firstLineChars="200"/>
        <w:rPr>
          <w:rFonts w:hint="eastAsia" w:ascii="仿宋_GB2312" w:hAnsi="楷体"/>
          <w:color w:val="auto"/>
          <w:szCs w:val="32"/>
        </w:rPr>
      </w:pPr>
      <w:r>
        <w:rPr>
          <w:rFonts w:hint="eastAsia" w:ascii="仿宋_GB2312" w:hAnsi="楷体"/>
          <w:color w:val="auto"/>
          <w:szCs w:val="32"/>
          <w:lang w:val="en-US" w:eastAsia="zh-CN"/>
        </w:rPr>
        <w:t>根据预算绩效管理要求，本部门组织对2023年度纳入部门预算的项目支出全面开展了绩效自评，共3个项目，涉及资金104.57万元</w:t>
      </w:r>
      <w:r>
        <w:rPr>
          <w:rFonts w:hint="eastAsia" w:ascii="仿宋_GB2312" w:hAnsi="楷体"/>
          <w:color w:val="auto"/>
          <w:szCs w:val="32"/>
        </w:rPr>
        <w:t>。从评价情况看，项目全年绩效目标基本完成。发挥红十字在人道领域的政府助手作用，通过弘扬“人道、博爱、奉献”的红十字精神，营造诚信友爱、关爱他人、乐于奉献的良好社会风尚。积极参加救灾、救助、救护，推动无偿献血、造血干细胞和器官、遗体捐献等，为更多弱势群体提供帮助。</w:t>
      </w:r>
    </w:p>
    <w:p>
      <w:pPr>
        <w:adjustRightInd w:val="0"/>
        <w:snapToGrid w:val="0"/>
        <w:spacing w:line="600" w:lineRule="exact"/>
        <w:ind w:firstLine="640" w:firstLineChars="200"/>
        <w:rPr>
          <w:rFonts w:hint="eastAsia" w:ascii="仿宋_GB2312" w:hAnsi="楷体"/>
          <w:color w:val="auto"/>
          <w:szCs w:val="32"/>
        </w:rPr>
      </w:pPr>
      <w:r>
        <w:rPr>
          <w:rFonts w:hint="eastAsia" w:ascii="仿宋_GB2312" w:hAnsi="楷体"/>
          <w:color w:val="auto"/>
          <w:szCs w:val="32"/>
        </w:rPr>
        <w:t>组织对202</w:t>
      </w:r>
      <w:r>
        <w:rPr>
          <w:rFonts w:hint="eastAsia" w:ascii="仿宋_GB2312" w:hAnsi="楷体"/>
          <w:color w:val="auto"/>
          <w:szCs w:val="32"/>
          <w:lang w:val="en-US" w:eastAsia="zh-CN"/>
        </w:rPr>
        <w:t>3</w:t>
      </w:r>
      <w:r>
        <w:rPr>
          <w:rFonts w:hint="eastAsia" w:ascii="仿宋_GB2312" w:hAnsi="楷体"/>
          <w:color w:val="auto"/>
          <w:szCs w:val="32"/>
        </w:rPr>
        <w:t>年度部门整体支出开展了绩效自评。评价结果显示，项目全年绩效目标基本完成。根据省、市关于全面实施绩效管理的相关规定，坚持勤俭办事业的方针，统筹安排事业发展和资金供给的关系、社会效益和经济效益的关系，专款专用，切实提高财政资金使用效益，在资金使用及管理方面，单位严格按照专项资金要求规范使用，不存在截留、挤占、挪用、虚列支出等情况，确保财政资金安全高效。</w:t>
      </w:r>
    </w:p>
    <w:p>
      <w:pPr>
        <w:adjustRightInd w:val="0"/>
        <w:snapToGrid w:val="0"/>
        <w:spacing w:line="600" w:lineRule="exact"/>
        <w:ind w:firstLine="640" w:firstLineChars="200"/>
        <w:rPr>
          <w:rFonts w:hint="eastAsia" w:ascii="仿宋_GB2312" w:hAnsi="楷体"/>
          <w:color w:val="auto"/>
          <w:szCs w:val="32"/>
        </w:rPr>
      </w:pPr>
      <w:r>
        <w:rPr>
          <w:rFonts w:hint="eastAsia" w:ascii="仿宋_GB2312" w:hAnsi="楷体"/>
          <w:color w:val="auto"/>
          <w:szCs w:val="32"/>
        </w:rPr>
        <w:t>组织对“捐赠收入”项目开展了部门评价，共涉及资金</w:t>
      </w:r>
      <w:r>
        <w:rPr>
          <w:rFonts w:hint="eastAsia" w:ascii="仿宋_GB2312" w:hAnsi="楷体"/>
          <w:color w:val="auto"/>
          <w:szCs w:val="32"/>
          <w:lang w:val="en-US" w:eastAsia="zh-CN"/>
        </w:rPr>
        <w:t>81.61</w:t>
      </w:r>
      <w:r>
        <w:rPr>
          <w:rFonts w:hint="eastAsia" w:ascii="仿宋_GB2312" w:hAnsi="楷体"/>
          <w:color w:val="auto"/>
          <w:szCs w:val="32"/>
        </w:rPr>
        <w:t>万元。由我部门自行组织开展绩效评价。从评价情况看，该项目设计依据充分，目标合理，符合资金发展方向。宣传、贯彻、执行《中华人民共和国红十字会法》，开展备灾救灾工作，对自然灾害和突发事件中的伤病人员和其他受害者进行救助救护；开展对贫困人群的社会救助活动；开展群众性的卫生救护培训，普及卫生救护和防病知识，组织群众参加现场救护；开展无偿献血和艾滋病预防的宣传、组织工作；开展骨髓造血干细胞捐赠的宣传和捐赠者资料库的建设与管理工作；开展红十字青少年活动。</w:t>
      </w:r>
    </w:p>
    <w:p>
      <w:pPr>
        <w:adjustRightInd w:val="0"/>
        <w:snapToGrid w:val="0"/>
        <w:spacing w:line="600" w:lineRule="exact"/>
        <w:ind w:firstLine="640" w:firstLineChars="200"/>
        <w:rPr>
          <w:rFonts w:hint="eastAsia" w:ascii="仿宋_GB2312" w:hAnsi="楷体"/>
          <w:color w:val="auto"/>
          <w:szCs w:val="32"/>
          <w:lang w:val="en-US" w:eastAsia="zh-CN"/>
        </w:rPr>
      </w:pPr>
      <w:r>
        <w:rPr>
          <w:rFonts w:hint="eastAsia" w:ascii="仿宋_GB2312" w:hAnsi="楷体"/>
          <w:color w:val="auto"/>
          <w:szCs w:val="32"/>
          <w:lang w:val="en-US" w:eastAsia="zh-CN"/>
        </w:rPr>
        <w:t>根据部门评价工作安排，2023年，我部门未组织开展所属单位整体支出绩效评价。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highlight w:val="yellow"/>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eastAsia="zh-CN"/>
        </w:rPr>
        <w:t>会</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年度部门决算中反映“捐赠收入”项目绩效自评综述和所有项目支出绩效自评表。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捐赠收入项目绩效自评综述：根据年初设定的绩效目标，项目绩效自评得分为</w:t>
      </w:r>
      <w:r>
        <w:rPr>
          <w:rFonts w:hint="eastAsia" w:ascii="仿宋_GB2312" w:hAnsi="仿宋_GB2312" w:cs="仿宋_GB2312"/>
          <w:bCs/>
          <w:color w:val="auto"/>
          <w:sz w:val="32"/>
          <w:szCs w:val="32"/>
          <w:lang w:val="en-US" w:eastAsia="zh-CN"/>
        </w:rPr>
        <w:t>98.16</w:t>
      </w:r>
      <w:r>
        <w:rPr>
          <w:rFonts w:hint="eastAsia" w:ascii="仿宋_GB2312" w:hAnsi="仿宋_GB2312" w:eastAsia="仿宋_GB2312" w:cs="仿宋_GB2312"/>
          <w:bCs/>
          <w:color w:val="auto"/>
          <w:sz w:val="32"/>
          <w:szCs w:val="32"/>
          <w:lang w:eastAsia="zh-CN"/>
        </w:rPr>
        <w:t>分。全年预算数为100万元，执行数为</w:t>
      </w:r>
      <w:r>
        <w:rPr>
          <w:rFonts w:hint="eastAsia" w:ascii="仿宋_GB2312" w:hAnsi="仿宋_GB2312" w:cs="仿宋_GB2312"/>
          <w:bCs/>
          <w:color w:val="auto"/>
          <w:sz w:val="32"/>
          <w:szCs w:val="32"/>
          <w:lang w:val="en-US" w:eastAsia="zh-CN"/>
        </w:rPr>
        <w:t>81.61</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81.61</w:t>
      </w:r>
      <w:r>
        <w:rPr>
          <w:rFonts w:hint="eastAsia" w:ascii="仿宋_GB2312" w:hAnsi="仿宋_GB2312" w:eastAsia="仿宋_GB2312" w:cs="仿宋_GB2312"/>
          <w:bCs/>
          <w:color w:val="auto"/>
          <w:sz w:val="32"/>
          <w:szCs w:val="32"/>
          <w:lang w:eastAsia="zh-CN"/>
        </w:rPr>
        <w:t>%。项目绩效目标完成情况：一是通过广泛开展社会募捐和公益活动，继续做好对特困人群的救助；二是推动无偿献血、造血干细胞以及遗体、器官捐献工作，重点抓好造血干细胞样本采集并完成省红十字会下达的年度采集任务，宣传配合开展遗体器官捐献工作。发现的主要问题及原因：执行率较低，捐赠收入无法在年初准确预估。下一步改进措施：提升项目预算执行质量，提前谋划，在设定绩效目标时做到更加精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捐赠收入项目的《项目支出绩效自评表》。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p>
    <w:p>
      <w:pPr>
        <w:pStyle w:val="2"/>
        <w:rPr>
          <w:rFonts w:hint="eastAsia" w:ascii="仿宋_GB2312" w:hAnsi="仿宋_GB2312" w:eastAsia="仿宋_GB2312" w:cs="仿宋_GB2312"/>
          <w:bCs/>
          <w:color w:val="auto"/>
          <w:sz w:val="32"/>
          <w:szCs w:val="32"/>
          <w:lang w:eastAsia="zh-CN"/>
        </w:rPr>
      </w:pPr>
    </w:p>
    <w:p>
      <w:pPr>
        <w:rPr>
          <w:rFonts w:hint="eastAsia" w:ascii="仿宋_GB2312" w:hAnsi="仿宋_GB2312" w:eastAsia="仿宋_GB2312" w:cs="仿宋_GB2312"/>
          <w:bCs/>
          <w:color w:val="auto"/>
          <w:sz w:val="32"/>
          <w:szCs w:val="32"/>
          <w:lang w:eastAsia="zh-CN"/>
        </w:rPr>
      </w:pPr>
    </w:p>
    <w:p>
      <w:pPr>
        <w:pStyle w:val="2"/>
        <w:rPr>
          <w:rFonts w:hint="eastAsia" w:ascii="仿宋_GB2312" w:hAnsi="仿宋_GB2312" w:eastAsia="仿宋_GB2312" w:cs="仿宋_GB2312"/>
          <w:bCs/>
          <w:color w:val="auto"/>
          <w:sz w:val="32"/>
          <w:szCs w:val="32"/>
          <w:lang w:eastAsia="zh-CN"/>
        </w:rPr>
      </w:pPr>
    </w:p>
    <w:p>
      <w:pPr>
        <w:rPr>
          <w:rFonts w:hint="eastAsia" w:ascii="仿宋_GB2312" w:hAnsi="仿宋_GB2312" w:eastAsia="仿宋_GB2312" w:cs="仿宋_GB2312"/>
          <w:bCs/>
          <w:color w:val="auto"/>
          <w:sz w:val="32"/>
          <w:szCs w:val="32"/>
          <w:lang w:eastAsia="zh-CN"/>
        </w:rPr>
      </w:pPr>
    </w:p>
    <w:p>
      <w:pPr>
        <w:pStyle w:val="2"/>
        <w:rPr>
          <w:rFonts w:hint="eastAsia" w:ascii="仿宋_GB2312" w:hAnsi="仿宋_GB2312" w:eastAsia="仿宋_GB2312" w:cs="仿宋_GB2312"/>
          <w:bCs/>
          <w:color w:val="auto"/>
          <w:sz w:val="32"/>
          <w:szCs w:val="32"/>
          <w:lang w:eastAsia="zh-CN"/>
        </w:rPr>
      </w:pPr>
    </w:p>
    <w:p>
      <w:pPr>
        <w:pStyle w:val="2"/>
        <w:ind w:left="0" w:leftChars="0" w:firstLine="0" w:firstLineChars="0"/>
        <w:rPr>
          <w:rFonts w:hint="eastAsia" w:ascii="仿宋_GB2312" w:hAnsi="仿宋_GB2312" w:eastAsia="仿宋_GB2312" w:cs="仿宋_GB2312"/>
          <w:bCs/>
          <w:color w:val="auto"/>
          <w:sz w:val="32"/>
          <w:szCs w:val="32"/>
          <w:lang w:eastAsia="zh-CN"/>
        </w:rPr>
        <w:sectPr>
          <w:pgSz w:w="11906" w:h="16838"/>
          <w:pgMar w:top="1440" w:right="1800" w:bottom="1440" w:left="1800" w:header="851" w:footer="992" w:gutter="0"/>
          <w:cols w:space="425" w:num="1"/>
          <w:docGrid w:type="lines" w:linePitch="312" w:charSpace="0"/>
        </w:sectPr>
      </w:pPr>
    </w:p>
    <w:tbl>
      <w:tblPr>
        <w:tblStyle w:val="7"/>
        <w:tblW w:w="14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789"/>
        <w:gridCol w:w="1241"/>
        <w:gridCol w:w="2376"/>
        <w:gridCol w:w="1176"/>
        <w:gridCol w:w="1125"/>
        <w:gridCol w:w="1449"/>
        <w:gridCol w:w="750"/>
        <w:gridCol w:w="1000"/>
        <w:gridCol w:w="3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466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466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捐赠收入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062-黄山市红十字会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062001-黄山市红十字会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87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分值 </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287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81.61%</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87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其中：本年财政拨款</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87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87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6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2023年度顺利完成接收定向和不定向的助病、助贫、助学、助老、助孤等捐款工作，对我市受灾群众和处于危难状况下的特困群众给予及时应急救助。</w:t>
            </w:r>
          </w:p>
        </w:tc>
        <w:tc>
          <w:tcPr>
            <w:tcW w:w="7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2023年度顺利完成接收定向和不定向的助病、助贫、助学、助老、助孤等捐款工作，对我市受灾群众和处于危难状况下的特困群众给予及时应急救助。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3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社会募集资金量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＝100万元</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81.61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社会捐赠金额无法在年初准确预估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按捐赠用途使用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资金使用期</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在协议区间内使用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实际成本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按有关文件执行</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效益指标(30分)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社会募集</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资金量</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影响程度提升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不适用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影响程度提升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社会捐赠渠道</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社会捐赠渠道畅通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达成预期指标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满意度指标(10分)</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受助方满意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color w:val="000000"/>
                <w:sz w:val="24"/>
                <w:szCs w:val="24"/>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捐赠方满意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bl>
    <w:p>
      <w:pPr>
        <w:rPr>
          <w:rFonts w:hint="eastAsia"/>
          <w:lang w:eastAsia="zh-CN"/>
        </w:rPr>
        <w:sectPr>
          <w:pgSz w:w="16838" w:h="11906" w:orient="landscape"/>
          <w:pgMar w:top="1800" w:right="1440" w:bottom="1800" w:left="1440" w:header="851" w:footer="992" w:gutter="0"/>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所有项目</w:t>
      </w:r>
      <w:r>
        <w:rPr>
          <w:rFonts w:hint="eastAsia" w:ascii="仿宋_GB2312" w:hAnsi="仿宋_GB2312" w:eastAsia="仿宋_GB2312" w:cs="仿宋_GB2312"/>
          <w:bCs/>
          <w:color w:val="auto"/>
          <w:sz w:val="32"/>
          <w:szCs w:val="32"/>
          <w:lang w:eastAsia="zh-CN"/>
        </w:rPr>
        <w:t>绩效自评表详见</w:t>
      </w:r>
      <w:r>
        <w:rPr>
          <w:rFonts w:hint="eastAsia" w:ascii="仿宋_GB2312" w:hAnsi="仿宋_GB2312" w:eastAsia="仿宋_GB2312" w:cs="仿宋_GB2312"/>
          <w:bCs/>
          <w:color w:val="auto"/>
          <w:sz w:val="32"/>
          <w:szCs w:val="32"/>
          <w:lang w:val="en-US" w:eastAsia="zh-CN"/>
        </w:rPr>
        <w:t>“附件1：2023年度项目支出绩效自评表”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highlight w:val="yellow"/>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cs="仿宋_GB2312"/>
          <w:color w:val="auto"/>
          <w:sz w:val="32"/>
          <w:szCs w:val="32"/>
          <w:lang w:val="en-US" w:eastAsia="zh-CN"/>
        </w:rPr>
        <w:t>捐赠收入</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仿宋_GB2312" w:cs="仿宋_GB2312"/>
          <w:color w:val="auto"/>
          <w:sz w:val="32"/>
          <w:szCs w:val="32"/>
          <w:lang w:val="en-US" w:eastAsia="zh-CN"/>
        </w:rPr>
        <w:t>捐赠收入</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二</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、附属单位上缴收入：</w:t>
      </w:r>
      <w:r>
        <w:rPr>
          <w:rFonts w:hint="eastAsia" w:ascii="仿宋_GB2312" w:hAnsi="黑体" w:eastAsia="仿宋_GB2312"/>
          <w:bCs/>
          <w:color w:val="auto"/>
          <w:sz w:val="32"/>
          <w:szCs w:val="32"/>
        </w:rPr>
        <w:t>指事业单位附属独立核算单位按照有关规定上缴的收入。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四</w:t>
      </w:r>
      <w:r>
        <w:rPr>
          <w:rFonts w:hint="eastAsia" w:ascii="仿宋_GB2312" w:hAnsi="黑体" w:eastAsia="仿宋_GB2312"/>
          <w:b/>
          <w:color w:val="auto"/>
          <w:sz w:val="32"/>
          <w:szCs w:val="32"/>
        </w:rPr>
        <w:t>、</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五</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六</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七</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6"/>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lang w:eastAsia="zh-CN"/>
        </w:rPr>
        <w:t>九</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6"/>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40" w:firstLineChars="200"/>
        <w:rPr>
          <w:rFonts w:hint="eastAsia" w:ascii="黑体" w:hAnsi="黑体" w:eastAsia="黑体"/>
          <w:color w:val="auto"/>
          <w:szCs w:val="32"/>
          <w:lang w:eastAsia="zh-CN"/>
        </w:rPr>
      </w:pP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w:t>
      </w:r>
      <w:r>
        <w:rPr>
          <w:rFonts w:hint="eastAsia" w:ascii="仿宋_GB2312" w:cs="宋体"/>
          <w:color w:val="auto"/>
          <w:kern w:val="2"/>
          <w:sz w:val="32"/>
          <w:szCs w:val="32"/>
          <w:lang w:val="en-US" w:eastAsia="zh-CN" w:bidi="ar-SA"/>
        </w:rPr>
        <w:t xml:space="preserve"> </w:t>
      </w:r>
      <w:r>
        <w:rPr>
          <w:rFonts w:hint="eastAsia" w:ascii="仿宋_GB2312" w:hAnsi="Times New Roman" w:eastAsia="仿宋_GB2312" w:cs="宋体"/>
          <w:color w:val="auto"/>
          <w:kern w:val="2"/>
          <w:sz w:val="32"/>
          <w:szCs w:val="32"/>
          <w:lang w:val="en-US" w:eastAsia="zh-CN" w:bidi="ar-SA"/>
        </w:rPr>
        <w:t>2.2023年度</w:t>
      </w:r>
      <w:r>
        <w:rPr>
          <w:rFonts w:hint="eastAsia" w:ascii="仿宋_GB2312" w:cs="宋体"/>
          <w:color w:val="auto"/>
          <w:kern w:val="2"/>
          <w:sz w:val="32"/>
          <w:szCs w:val="32"/>
          <w:lang w:val="en-US" w:eastAsia="zh-CN" w:bidi="ar-SA"/>
        </w:rPr>
        <w:t>捐赠收入</w:t>
      </w:r>
      <w:r>
        <w:rPr>
          <w:rFonts w:hint="eastAsia" w:ascii="仿宋_GB2312" w:hAnsi="Times New Roman" w:eastAsia="仿宋_GB2312" w:cs="宋体"/>
          <w:color w:val="auto"/>
          <w:kern w:val="2"/>
          <w:sz w:val="32"/>
          <w:szCs w:val="32"/>
          <w:lang w:val="en-US" w:eastAsia="zh-CN" w:bidi="ar-SA"/>
        </w:rPr>
        <w:t>项目绩效评价报告</w:t>
      </w:r>
    </w:p>
    <w:p>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pPr>
        <w:jc w:val="both"/>
        <w:rPr>
          <w:rFonts w:hint="eastAsia" w:ascii="仿宋" w:hAnsi="仿宋" w:eastAsia="仿宋" w:cs="仿宋"/>
          <w:b w:val="0"/>
          <w:bCs/>
          <w:color w:val="auto"/>
          <w:sz w:val="32"/>
          <w:szCs w:val="32"/>
          <w:lang w:val="en-US" w:eastAsia="zh-CN"/>
        </w:rPr>
      </w:pPr>
    </w:p>
    <w:p>
      <w:pPr>
        <w:jc w:val="both"/>
        <w:rPr>
          <w:rFonts w:hint="default" w:ascii="黑体" w:hAnsi="黑体" w:eastAsia="黑体" w:cs="黑体"/>
          <w:b w:val="0"/>
          <w:bCs/>
          <w:color w:val="auto"/>
          <w:sz w:val="32"/>
          <w:szCs w:val="32"/>
          <w:lang w:val="en-US" w:eastAsia="zh-CN"/>
        </w:rPr>
      </w:pPr>
    </w:p>
    <w:p>
      <w:pPr>
        <w:ind w:firstLine="640" w:firstLineChars="200"/>
        <w:rPr>
          <w:rFonts w:hint="eastAsia" w:ascii="仿宋_GB2312" w:hAnsi="仿宋"/>
          <w:color w:val="auto"/>
          <w:szCs w:val="32"/>
          <w:u w:val="none"/>
          <w:lang w:val="en-US" w:eastAsia="zh-CN"/>
        </w:rPr>
      </w:pPr>
    </w:p>
    <w:p>
      <w:pPr>
        <w:pStyle w:val="4"/>
        <w:ind w:left="1258" w:hanging="1258"/>
        <w:jc w:val="both"/>
        <w:rPr>
          <w:rFonts w:hint="eastAsia" w:ascii="仿宋_GB2312" w:eastAsia="仿宋_GB2312"/>
          <w:color w:val="auto"/>
          <w:sz w:val="32"/>
        </w:rPr>
      </w:pPr>
    </w:p>
    <w:p>
      <w:pPr>
        <w:pStyle w:val="4"/>
        <w:ind w:left="1258" w:hanging="1258"/>
        <w:jc w:val="both"/>
        <w:rPr>
          <w:rFonts w:hint="eastAsia" w:ascii="仿宋_GB2312" w:eastAsia="仿宋_GB2312"/>
          <w:color w:val="auto"/>
          <w:sz w:val="32"/>
        </w:rPr>
      </w:pPr>
    </w:p>
    <w:p>
      <w:pPr>
        <w:pStyle w:val="4"/>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FC4DB1-39AF-4E28-B693-18D735B45205}"/>
  </w:font>
  <w:font w:name="黑体">
    <w:panose1 w:val="02010609060101010101"/>
    <w:charset w:val="86"/>
    <w:family w:val="auto"/>
    <w:pitch w:val="default"/>
    <w:sig w:usb0="800002BF" w:usb1="38CF7CFA" w:usb2="00000016" w:usb3="00000000" w:csb0="00040001" w:csb1="00000000"/>
    <w:embedRegular r:id="rId2" w:fontKey="{04C3E81C-649B-491E-BA57-1C6AA1BA65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F619A1C2-717D-4EA3-B81F-421602E8CE4B}"/>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03BCC15E-FE08-41A8-86CF-A6BBC4D2E1F9}"/>
  </w:font>
  <w:font w:name="仿宋">
    <w:panose1 w:val="02010609060101010101"/>
    <w:charset w:val="86"/>
    <w:family w:val="auto"/>
    <w:pitch w:val="default"/>
    <w:sig w:usb0="800002BF" w:usb1="38CF7CFA" w:usb2="00000016" w:usb3="00000000" w:csb0="00040001" w:csb1="00000000"/>
    <w:embedRegular r:id="rId5" w:fontKey="{A040896B-B349-4EB6-B7DE-87AD5CA28025}"/>
  </w:font>
  <w:font w:name="楷体">
    <w:panose1 w:val="02010609060101010101"/>
    <w:charset w:val="86"/>
    <w:family w:val="modern"/>
    <w:pitch w:val="default"/>
    <w:sig w:usb0="800002BF" w:usb1="38CF7CFA" w:usb2="00000016" w:usb3="00000000" w:csb0="00040001" w:csb1="00000000"/>
    <w:embedRegular r:id="rId6" w:fontKey="{A42BEA00-06BD-47D3-B14C-D6A7992A19AA}"/>
  </w:font>
  <w:font w:name="楷体_GB2312">
    <w:altName w:val="楷体"/>
    <w:panose1 w:val="02010609030101010101"/>
    <w:charset w:val="86"/>
    <w:family w:val="modern"/>
    <w:pitch w:val="default"/>
    <w:sig w:usb0="00000000" w:usb1="00000000" w:usb2="00000000" w:usb3="00000000" w:csb0="00040000" w:csb1="00000000"/>
    <w:embedRegular r:id="rId7" w:fontKey="{138DB381-58CC-4E2F-B213-4783EE2653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Yzc3ZDNkNjk5NTU5ZjcxYWE4N2IyNmMyNWY5ZTQifQ=="/>
  </w:docVars>
  <w:rsids>
    <w:rsidRoot w:val="13C55AB0"/>
    <w:rsid w:val="1240431F"/>
    <w:rsid w:val="12D704A9"/>
    <w:rsid w:val="13C55AB0"/>
    <w:rsid w:val="1A4A21DA"/>
    <w:rsid w:val="1FF64856"/>
    <w:rsid w:val="31DC5F37"/>
    <w:rsid w:val="33403418"/>
    <w:rsid w:val="33CA63FD"/>
    <w:rsid w:val="3DFF1125"/>
    <w:rsid w:val="686315C3"/>
    <w:rsid w:val="6C085383"/>
    <w:rsid w:val="6DF3CC30"/>
    <w:rsid w:val="73E7900F"/>
    <w:rsid w:val="73ED66EE"/>
    <w:rsid w:val="74C02089"/>
    <w:rsid w:val="75FF0C59"/>
    <w:rsid w:val="77E7801C"/>
    <w:rsid w:val="77F934E6"/>
    <w:rsid w:val="7AFE9838"/>
    <w:rsid w:val="7BC54008"/>
    <w:rsid w:val="7F720809"/>
    <w:rsid w:val="7FAEECFB"/>
    <w:rsid w:val="7FE9E130"/>
    <w:rsid w:val="7FFBF8B9"/>
    <w:rsid w:val="7FFF7AD5"/>
    <w:rsid w:val="8B3FEB98"/>
    <w:rsid w:val="ADCF7C3F"/>
    <w:rsid w:val="B5FB04D7"/>
    <w:rsid w:val="BDFA6969"/>
    <w:rsid w:val="DB7FC7C9"/>
    <w:rsid w:val="DBD7E89A"/>
    <w:rsid w:val="DF4FFDD1"/>
    <w:rsid w:val="F3DEB141"/>
    <w:rsid w:val="F7BF7C46"/>
    <w:rsid w:val="F7DE1A33"/>
    <w:rsid w:val="F7EF249B"/>
    <w:rsid w:val="FBBF2ADE"/>
    <w:rsid w:val="FBFBD11B"/>
    <w:rsid w:val="FEFD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jc w:val="center"/>
    </w:pPr>
    <w:rPr>
      <w:rFonts w:eastAsia="黑体"/>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10110</Words>
  <Characters>11020</Characters>
  <Lines>0</Lines>
  <Paragraphs>0</Paragraphs>
  <TotalTime>24</TotalTime>
  <ScaleCrop>false</ScaleCrop>
  <LinksUpToDate>false</LinksUpToDate>
  <CharactersWithSpaces>11527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2024-09-04T16:35:00Z</dcterms:created>
  <dc:creator>洪HH2X</dc:creator>
  <cp:lastModifiedBy>2925856435</cp:lastModifiedBy>
  <dcterms:modified xsi:type="dcterms:W3CDTF">2024-09-13T08:33:38Z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AF2F691268414E2491EB0AFC96BA6FAF_13</vt:lpwstr>
  </property>
</Properties>
</file>