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rPr>
          <w:rFonts w:hint="eastAsia" w:ascii="宋体" w:hAnsi="宋体"/>
          <w:b/>
          <w:sz w:val="36"/>
          <w:szCs w:val="36"/>
        </w:rPr>
      </w:pPr>
      <w:bookmarkStart w:id="0" w:name="_GoBack"/>
      <w:bookmarkEnd w:id="0"/>
      <w:r>
        <w:rPr>
          <w:rFonts w:hint="eastAsia" w:ascii="宋体" w:hAnsi="宋体"/>
          <w:b/>
          <w:sz w:val="36"/>
          <w:szCs w:val="36"/>
          <w:lang w:val="en-US" w:eastAsia="zh-CN"/>
        </w:rPr>
        <w:t>黄山市红十字会</w:t>
      </w:r>
      <w:r>
        <w:rPr>
          <w:rFonts w:ascii="宋体" w:hAnsi="宋体"/>
          <w:b/>
          <w:sz w:val="36"/>
          <w:szCs w:val="36"/>
        </w:rPr>
        <w:t>2020年</w:t>
      </w:r>
      <w:r>
        <w:rPr>
          <w:rFonts w:hint="eastAsia" w:ascii="宋体" w:hAnsi="宋体"/>
          <w:b/>
          <w:sz w:val="36"/>
          <w:szCs w:val="36"/>
        </w:rPr>
        <w:t>度一般公共预算财政</w:t>
      </w:r>
    </w:p>
    <w:p>
      <w:pPr>
        <w:jc w:val="center"/>
        <w:outlineLvl w:val="0"/>
        <w:rPr>
          <w:rFonts w:hint="eastAsia" w:ascii="宋体" w:hAnsi="宋体"/>
          <w:b/>
          <w:sz w:val="36"/>
          <w:szCs w:val="36"/>
        </w:rPr>
      </w:pPr>
      <w:r>
        <w:rPr>
          <w:rFonts w:hint="eastAsia" w:ascii="宋体" w:hAnsi="宋体"/>
          <w:b/>
          <w:sz w:val="36"/>
          <w:szCs w:val="36"/>
        </w:rPr>
        <w:t>拨款</w:t>
      </w:r>
      <w:r>
        <w:rPr>
          <w:rFonts w:ascii="宋体" w:hAnsi="宋体"/>
          <w:b/>
          <w:sz w:val="36"/>
          <w:szCs w:val="36"/>
        </w:rPr>
        <w:t>“三公</w:t>
      </w:r>
      <w:r>
        <w:rPr>
          <w:rFonts w:hint="eastAsia" w:ascii="宋体" w:hAnsi="宋体"/>
          <w:b/>
          <w:sz w:val="36"/>
          <w:szCs w:val="36"/>
        </w:rPr>
        <w:t>”</w:t>
      </w:r>
      <w:r>
        <w:rPr>
          <w:rFonts w:ascii="宋体" w:hAnsi="宋体"/>
          <w:b/>
          <w:sz w:val="36"/>
          <w:szCs w:val="36"/>
        </w:rPr>
        <w:t>经费</w:t>
      </w:r>
      <w:r>
        <w:rPr>
          <w:rFonts w:hint="eastAsia" w:ascii="宋体" w:hAnsi="宋体"/>
          <w:b/>
          <w:sz w:val="36"/>
          <w:szCs w:val="36"/>
        </w:rPr>
        <w:t>支出决算情况说明</w:t>
      </w:r>
    </w:p>
    <w:p>
      <w:pPr>
        <w:jc w:val="center"/>
        <w:rPr>
          <w:rFonts w:hint="eastAsia" w:ascii="楷体_GB2312" w:eastAsia="楷体_GB2312"/>
          <w:szCs w:val="32"/>
        </w:rPr>
      </w:pPr>
    </w:p>
    <w:p>
      <w:pPr>
        <w:adjustRightInd w:val="0"/>
        <w:snapToGrid w:val="0"/>
        <w:spacing w:line="360" w:lineRule="auto"/>
        <w:jc w:val="center"/>
        <w:rPr>
          <w:rFonts w:hint="eastAsia" w:ascii="宋体" w:hAnsi="宋体"/>
          <w:sz w:val="6"/>
          <w:szCs w:val="32"/>
        </w:rPr>
      </w:pPr>
    </w:p>
    <w:p>
      <w:pPr>
        <w:outlineLvl w:val="1"/>
        <w:rPr>
          <w:rFonts w:hint="eastAsia" w:ascii="黑体" w:hAnsi="黑体" w:eastAsia="黑体"/>
          <w:szCs w:val="32"/>
        </w:rPr>
      </w:pPr>
      <w:r>
        <w:rPr>
          <w:rFonts w:ascii="黑体" w:hAnsi="黑体" w:eastAsia="黑体"/>
          <w:szCs w:val="32"/>
        </w:rPr>
        <w:t xml:space="preserve">    </w:t>
      </w:r>
      <w:r>
        <w:rPr>
          <w:rFonts w:hint="eastAsia" w:ascii="黑体" w:hAnsi="黑体" w:eastAsia="黑体"/>
          <w:szCs w:val="32"/>
        </w:rPr>
        <w:t>一、2020年度一般公共预算财政拨款“三公”经费支出决算表</w:t>
      </w:r>
    </w:p>
    <w:p>
      <w:pPr>
        <w:ind w:firstLine="5378" w:firstLineChars="2298"/>
        <w:jc w:val="right"/>
        <w:rPr>
          <w:rFonts w:hint="eastAsia" w:ascii="黑体" w:hAnsi="黑体" w:eastAsia="黑体"/>
          <w:sz w:val="24"/>
          <w:szCs w:val="24"/>
        </w:rPr>
      </w:pPr>
      <w:r>
        <w:rPr>
          <w:rFonts w:hint="eastAsia" w:ascii="仿宋_GB2312" w:hAnsi="仿宋_GB2312" w:cs="仿宋_GB2312"/>
          <w:sz w:val="24"/>
          <w:szCs w:val="24"/>
        </w:rPr>
        <w:t>单位：万元</w:t>
      </w:r>
    </w:p>
    <w:tbl>
      <w:tblPr>
        <w:tblStyle w:val="2"/>
        <w:tblpPr w:leftFromText="180" w:rightFromText="180" w:vertAnchor="text" w:horzAnchor="margin" w:tblpY="454"/>
        <w:tblOverlap w:val="never"/>
        <w:tblW w:w="0" w:type="auto"/>
        <w:tblInd w:w="0" w:type="dxa"/>
        <w:tblLayout w:type="fixed"/>
        <w:tblCellMar>
          <w:top w:w="0" w:type="dxa"/>
          <w:left w:w="108" w:type="dxa"/>
          <w:bottom w:w="0" w:type="dxa"/>
          <w:right w:w="108" w:type="dxa"/>
        </w:tblCellMar>
      </w:tblPr>
      <w:tblGrid>
        <w:gridCol w:w="4310"/>
        <w:gridCol w:w="2123"/>
        <w:gridCol w:w="2185"/>
      </w:tblGrid>
      <w:tr>
        <w:tblPrEx>
          <w:tblCellMar>
            <w:top w:w="0" w:type="dxa"/>
            <w:left w:w="108" w:type="dxa"/>
            <w:bottom w:w="0" w:type="dxa"/>
            <w:right w:w="108" w:type="dxa"/>
          </w:tblCellMar>
        </w:tblPrEx>
        <w:trPr>
          <w:trHeight w:val="185" w:hRule="atLeast"/>
        </w:trPr>
        <w:tc>
          <w:tcPr>
            <w:tcW w:w="431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
                <w:bCs/>
                <w:kern w:val="0"/>
                <w:sz w:val="28"/>
                <w:szCs w:val="20"/>
              </w:rPr>
            </w:pPr>
            <w:r>
              <w:rPr>
                <w:rFonts w:hint="eastAsia" w:ascii="宋体" w:hAnsi="宋体" w:cs="宋体"/>
                <w:b/>
                <w:bCs/>
                <w:kern w:val="0"/>
                <w:sz w:val="28"/>
                <w:szCs w:val="20"/>
              </w:rPr>
              <w:t>项  目</w:t>
            </w:r>
          </w:p>
        </w:tc>
        <w:tc>
          <w:tcPr>
            <w:tcW w:w="2123"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b/>
                <w:bCs/>
                <w:kern w:val="0"/>
                <w:sz w:val="28"/>
                <w:szCs w:val="20"/>
              </w:rPr>
            </w:pPr>
            <w:r>
              <w:rPr>
                <w:rFonts w:hint="eastAsia" w:ascii="宋体" w:hAnsi="宋体" w:cs="宋体"/>
                <w:b/>
                <w:bCs/>
                <w:kern w:val="0"/>
                <w:sz w:val="28"/>
                <w:szCs w:val="20"/>
              </w:rPr>
              <w:t>预 算 数</w:t>
            </w:r>
          </w:p>
        </w:tc>
        <w:tc>
          <w:tcPr>
            <w:tcW w:w="2185"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b/>
                <w:bCs/>
                <w:kern w:val="0"/>
                <w:sz w:val="28"/>
                <w:szCs w:val="20"/>
              </w:rPr>
            </w:pPr>
            <w:r>
              <w:rPr>
                <w:rFonts w:hint="eastAsia" w:ascii="宋体" w:hAnsi="宋体" w:cs="宋体"/>
                <w:b/>
                <w:bCs/>
                <w:kern w:val="0"/>
                <w:sz w:val="28"/>
                <w:szCs w:val="20"/>
              </w:rPr>
              <w:t>决 算 数</w:t>
            </w:r>
          </w:p>
        </w:tc>
      </w:tr>
      <w:tr>
        <w:tblPrEx>
          <w:tblCellMar>
            <w:top w:w="0" w:type="dxa"/>
            <w:left w:w="108" w:type="dxa"/>
            <w:bottom w:w="0" w:type="dxa"/>
            <w:right w:w="108" w:type="dxa"/>
          </w:tblCellMar>
        </w:tblPrEx>
        <w:trPr>
          <w:trHeight w:val="404" w:hRule="atLeast"/>
        </w:trPr>
        <w:tc>
          <w:tcPr>
            <w:tcW w:w="431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b/>
                <w:bCs/>
                <w:kern w:val="0"/>
                <w:sz w:val="28"/>
                <w:szCs w:val="20"/>
              </w:rPr>
            </w:pPr>
            <w:r>
              <w:rPr>
                <w:rFonts w:hint="eastAsia" w:ascii="宋体" w:hAnsi="宋体" w:cs="宋体"/>
                <w:b/>
                <w:bCs/>
                <w:kern w:val="0"/>
                <w:sz w:val="28"/>
                <w:szCs w:val="20"/>
              </w:rPr>
              <w:t>合  计</w:t>
            </w:r>
          </w:p>
        </w:tc>
        <w:tc>
          <w:tcPr>
            <w:tcW w:w="2123"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ascii="宋体" w:hAnsi="宋体" w:cs="宋体"/>
                <w:b/>
                <w:bCs/>
                <w:kern w:val="0"/>
                <w:sz w:val="28"/>
                <w:szCs w:val="20"/>
              </w:rPr>
            </w:pPr>
            <w:r>
              <w:rPr>
                <w:rFonts w:hint="eastAsia" w:ascii="宋体" w:hAnsi="宋体" w:eastAsia="宋体" w:cs="宋体"/>
                <w:i w:val="0"/>
                <w:iCs w:val="0"/>
                <w:color w:val="000000"/>
                <w:kern w:val="0"/>
                <w:sz w:val="18"/>
                <w:szCs w:val="18"/>
                <w:u w:val="none"/>
                <w:lang w:val="en-US" w:eastAsia="zh-CN" w:bidi="ar"/>
              </w:rPr>
              <w:t>0.79</w:t>
            </w:r>
          </w:p>
        </w:tc>
        <w:tc>
          <w:tcPr>
            <w:tcW w:w="2185"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ascii="宋体" w:hAnsi="宋体" w:cs="宋体"/>
                <w:b/>
                <w:bCs/>
                <w:kern w:val="0"/>
                <w:sz w:val="28"/>
                <w:szCs w:val="20"/>
              </w:rPr>
            </w:pPr>
            <w:r>
              <w:rPr>
                <w:rFonts w:hint="eastAsia" w:ascii="宋体" w:hAnsi="宋体" w:eastAsia="宋体" w:cs="宋体"/>
                <w:i w:val="0"/>
                <w:iCs w:val="0"/>
                <w:color w:val="000000"/>
                <w:kern w:val="0"/>
                <w:sz w:val="18"/>
                <w:szCs w:val="18"/>
                <w:u w:val="none"/>
                <w:lang w:val="en-US" w:eastAsia="zh-CN" w:bidi="ar"/>
              </w:rPr>
              <w:t>0.56</w:t>
            </w:r>
          </w:p>
        </w:tc>
      </w:tr>
      <w:tr>
        <w:tblPrEx>
          <w:tblCellMar>
            <w:top w:w="0" w:type="dxa"/>
            <w:left w:w="108" w:type="dxa"/>
            <w:bottom w:w="0" w:type="dxa"/>
            <w:right w:w="108" w:type="dxa"/>
          </w:tblCellMar>
        </w:tblPrEx>
        <w:trPr>
          <w:trHeight w:val="314" w:hRule="atLeast"/>
        </w:trPr>
        <w:tc>
          <w:tcPr>
            <w:tcW w:w="4310" w:type="dxa"/>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4"/>
                <w:szCs w:val="18"/>
              </w:rPr>
            </w:pPr>
            <w:r>
              <w:rPr>
                <w:rFonts w:hint="eastAsia" w:ascii="宋体" w:hAnsi="宋体" w:cs="宋体"/>
                <w:kern w:val="0"/>
                <w:sz w:val="24"/>
                <w:szCs w:val="18"/>
              </w:rPr>
              <w:t>因公出国（境）费</w:t>
            </w:r>
          </w:p>
        </w:tc>
        <w:tc>
          <w:tcPr>
            <w:tcW w:w="2123" w:type="dxa"/>
            <w:tcBorders>
              <w:top w:val="nil"/>
              <w:left w:val="nil"/>
              <w:bottom w:val="single" w:color="auto" w:sz="4" w:space="0"/>
              <w:right w:val="single" w:color="auto" w:sz="4" w:space="0"/>
            </w:tcBorders>
            <w:noWrap w:val="0"/>
            <w:vAlign w:val="bottom"/>
          </w:tcPr>
          <w:p>
            <w:pPr>
              <w:widowControl/>
              <w:jc w:val="left"/>
              <w:rPr>
                <w:rFonts w:hint="default" w:ascii="宋体" w:hAnsi="宋体" w:eastAsia="仿宋_GB2312" w:cs="宋体"/>
                <w:kern w:val="0"/>
                <w:sz w:val="28"/>
                <w:szCs w:val="20"/>
                <w:lang w:val="en-US" w:eastAsia="zh-CN"/>
              </w:rPr>
            </w:pPr>
          </w:p>
        </w:tc>
        <w:tc>
          <w:tcPr>
            <w:tcW w:w="2185" w:type="dxa"/>
            <w:tcBorders>
              <w:top w:val="nil"/>
              <w:left w:val="nil"/>
              <w:bottom w:val="single" w:color="auto" w:sz="4" w:space="0"/>
              <w:right w:val="single" w:color="auto" w:sz="4" w:space="0"/>
            </w:tcBorders>
            <w:noWrap w:val="0"/>
            <w:vAlign w:val="bottom"/>
          </w:tcPr>
          <w:p>
            <w:pPr>
              <w:widowControl/>
              <w:jc w:val="left"/>
              <w:rPr>
                <w:rFonts w:ascii="宋体" w:hAnsi="宋体" w:cs="宋体"/>
                <w:kern w:val="0"/>
                <w:sz w:val="28"/>
                <w:szCs w:val="20"/>
              </w:rPr>
            </w:pPr>
            <w:r>
              <w:rPr>
                <w:rFonts w:hint="eastAsia" w:ascii="宋体" w:hAnsi="宋体" w:cs="宋体"/>
                <w:kern w:val="0"/>
                <w:sz w:val="28"/>
                <w:szCs w:val="20"/>
              </w:rPr>
              <w:t>　</w:t>
            </w:r>
          </w:p>
        </w:tc>
      </w:tr>
      <w:tr>
        <w:tblPrEx>
          <w:tblCellMar>
            <w:top w:w="0" w:type="dxa"/>
            <w:left w:w="108" w:type="dxa"/>
            <w:bottom w:w="0" w:type="dxa"/>
            <w:right w:w="108" w:type="dxa"/>
          </w:tblCellMar>
        </w:tblPrEx>
        <w:trPr>
          <w:trHeight w:val="185" w:hRule="atLeast"/>
        </w:trPr>
        <w:tc>
          <w:tcPr>
            <w:tcW w:w="4310" w:type="dxa"/>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4"/>
                <w:szCs w:val="18"/>
              </w:rPr>
            </w:pPr>
            <w:r>
              <w:rPr>
                <w:rFonts w:hint="eastAsia" w:ascii="宋体" w:hAnsi="宋体" w:cs="宋体"/>
                <w:kern w:val="0"/>
                <w:sz w:val="24"/>
                <w:szCs w:val="18"/>
              </w:rPr>
              <w:t>公务接待费</w:t>
            </w:r>
          </w:p>
        </w:tc>
        <w:tc>
          <w:tcPr>
            <w:tcW w:w="2123"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ascii="宋体" w:hAnsi="宋体" w:cs="宋体"/>
                <w:kern w:val="0"/>
                <w:sz w:val="28"/>
                <w:szCs w:val="20"/>
              </w:rPr>
            </w:pPr>
            <w:r>
              <w:rPr>
                <w:rFonts w:hint="eastAsia" w:ascii="宋体" w:hAnsi="宋体" w:eastAsia="宋体" w:cs="宋体"/>
                <w:i w:val="0"/>
                <w:iCs w:val="0"/>
                <w:color w:val="000000"/>
                <w:kern w:val="0"/>
                <w:sz w:val="18"/>
                <w:szCs w:val="18"/>
                <w:u w:val="none"/>
                <w:lang w:val="en-US" w:eastAsia="zh-CN" w:bidi="ar"/>
              </w:rPr>
              <w:t>0.79</w:t>
            </w:r>
          </w:p>
        </w:tc>
        <w:tc>
          <w:tcPr>
            <w:tcW w:w="2185"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ascii="宋体" w:hAnsi="宋体" w:cs="宋体"/>
                <w:kern w:val="0"/>
                <w:sz w:val="28"/>
                <w:szCs w:val="20"/>
              </w:rPr>
            </w:pPr>
            <w:r>
              <w:rPr>
                <w:rFonts w:hint="eastAsia" w:ascii="宋体" w:hAnsi="宋体" w:eastAsia="宋体" w:cs="宋体"/>
                <w:i w:val="0"/>
                <w:iCs w:val="0"/>
                <w:color w:val="000000"/>
                <w:kern w:val="0"/>
                <w:sz w:val="18"/>
                <w:szCs w:val="18"/>
                <w:u w:val="none"/>
                <w:lang w:val="en-US" w:eastAsia="zh-CN" w:bidi="ar"/>
              </w:rPr>
              <w:t>0.56</w:t>
            </w:r>
          </w:p>
        </w:tc>
      </w:tr>
      <w:tr>
        <w:tblPrEx>
          <w:tblCellMar>
            <w:top w:w="0" w:type="dxa"/>
            <w:left w:w="108" w:type="dxa"/>
            <w:bottom w:w="0" w:type="dxa"/>
            <w:right w:w="108" w:type="dxa"/>
          </w:tblCellMar>
        </w:tblPrEx>
        <w:trPr>
          <w:trHeight w:val="185" w:hRule="atLeast"/>
        </w:trPr>
        <w:tc>
          <w:tcPr>
            <w:tcW w:w="4310" w:type="dxa"/>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4"/>
                <w:szCs w:val="18"/>
              </w:rPr>
            </w:pPr>
            <w:r>
              <w:rPr>
                <w:rFonts w:hint="eastAsia" w:ascii="宋体" w:hAnsi="宋体" w:cs="宋体"/>
                <w:kern w:val="0"/>
                <w:sz w:val="24"/>
                <w:szCs w:val="18"/>
              </w:rPr>
              <w:t>公务用车购置及运行维护费</w:t>
            </w:r>
          </w:p>
        </w:tc>
        <w:tc>
          <w:tcPr>
            <w:tcW w:w="2123" w:type="dxa"/>
            <w:tcBorders>
              <w:top w:val="nil"/>
              <w:left w:val="nil"/>
              <w:bottom w:val="single" w:color="auto" w:sz="4" w:space="0"/>
              <w:right w:val="single" w:color="auto" w:sz="4" w:space="0"/>
            </w:tcBorders>
            <w:noWrap w:val="0"/>
            <w:vAlign w:val="bottom"/>
          </w:tcPr>
          <w:p>
            <w:pPr>
              <w:widowControl/>
              <w:jc w:val="left"/>
              <w:rPr>
                <w:rFonts w:ascii="宋体" w:hAnsi="宋体" w:cs="宋体"/>
                <w:kern w:val="0"/>
                <w:sz w:val="28"/>
                <w:szCs w:val="20"/>
              </w:rPr>
            </w:pPr>
            <w:r>
              <w:rPr>
                <w:rFonts w:hint="eastAsia" w:ascii="宋体" w:hAnsi="宋体" w:cs="宋体"/>
                <w:kern w:val="0"/>
                <w:sz w:val="28"/>
                <w:szCs w:val="20"/>
              </w:rPr>
              <w:t>　</w:t>
            </w:r>
          </w:p>
        </w:tc>
        <w:tc>
          <w:tcPr>
            <w:tcW w:w="2185" w:type="dxa"/>
            <w:tcBorders>
              <w:top w:val="nil"/>
              <w:left w:val="nil"/>
              <w:bottom w:val="single" w:color="auto" w:sz="4" w:space="0"/>
              <w:right w:val="single" w:color="auto" w:sz="4" w:space="0"/>
            </w:tcBorders>
            <w:noWrap w:val="0"/>
            <w:vAlign w:val="bottom"/>
          </w:tcPr>
          <w:p>
            <w:pPr>
              <w:widowControl/>
              <w:jc w:val="left"/>
              <w:rPr>
                <w:rFonts w:ascii="宋体" w:hAnsi="宋体" w:cs="宋体"/>
                <w:kern w:val="0"/>
                <w:sz w:val="28"/>
                <w:szCs w:val="20"/>
              </w:rPr>
            </w:pPr>
            <w:r>
              <w:rPr>
                <w:rFonts w:hint="eastAsia" w:ascii="宋体" w:hAnsi="宋体" w:cs="宋体"/>
                <w:kern w:val="0"/>
                <w:sz w:val="28"/>
                <w:szCs w:val="20"/>
              </w:rPr>
              <w:t>　</w:t>
            </w:r>
          </w:p>
        </w:tc>
      </w:tr>
      <w:tr>
        <w:tblPrEx>
          <w:tblCellMar>
            <w:top w:w="0" w:type="dxa"/>
            <w:left w:w="108" w:type="dxa"/>
            <w:bottom w:w="0" w:type="dxa"/>
            <w:right w:w="108" w:type="dxa"/>
          </w:tblCellMar>
        </w:tblPrEx>
        <w:trPr>
          <w:trHeight w:val="185" w:hRule="atLeast"/>
        </w:trPr>
        <w:tc>
          <w:tcPr>
            <w:tcW w:w="4310" w:type="dxa"/>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4"/>
                <w:szCs w:val="18"/>
              </w:rPr>
            </w:pPr>
            <w:r>
              <w:rPr>
                <w:rFonts w:hint="eastAsia" w:ascii="宋体" w:hAnsi="宋体" w:cs="宋体"/>
                <w:kern w:val="0"/>
                <w:sz w:val="24"/>
                <w:szCs w:val="18"/>
              </w:rPr>
              <w:t xml:space="preserve">  其中：公务用车运行维护费</w:t>
            </w:r>
          </w:p>
        </w:tc>
        <w:tc>
          <w:tcPr>
            <w:tcW w:w="2123" w:type="dxa"/>
            <w:tcBorders>
              <w:top w:val="nil"/>
              <w:left w:val="nil"/>
              <w:bottom w:val="single" w:color="auto" w:sz="4" w:space="0"/>
              <w:right w:val="single" w:color="auto" w:sz="4" w:space="0"/>
            </w:tcBorders>
            <w:noWrap w:val="0"/>
            <w:vAlign w:val="bottom"/>
          </w:tcPr>
          <w:p>
            <w:pPr>
              <w:widowControl/>
              <w:jc w:val="left"/>
              <w:rPr>
                <w:rFonts w:ascii="宋体" w:hAnsi="宋体" w:cs="宋体"/>
                <w:kern w:val="0"/>
                <w:sz w:val="28"/>
                <w:szCs w:val="20"/>
              </w:rPr>
            </w:pPr>
            <w:r>
              <w:rPr>
                <w:rFonts w:hint="eastAsia" w:ascii="宋体" w:hAnsi="宋体" w:cs="宋体"/>
                <w:kern w:val="0"/>
                <w:sz w:val="28"/>
                <w:szCs w:val="20"/>
              </w:rPr>
              <w:t>　</w:t>
            </w:r>
          </w:p>
        </w:tc>
        <w:tc>
          <w:tcPr>
            <w:tcW w:w="2185" w:type="dxa"/>
            <w:tcBorders>
              <w:top w:val="nil"/>
              <w:left w:val="nil"/>
              <w:bottom w:val="single" w:color="auto" w:sz="4" w:space="0"/>
              <w:right w:val="single" w:color="auto" w:sz="4" w:space="0"/>
            </w:tcBorders>
            <w:noWrap w:val="0"/>
            <w:vAlign w:val="bottom"/>
          </w:tcPr>
          <w:p>
            <w:pPr>
              <w:widowControl/>
              <w:jc w:val="left"/>
              <w:rPr>
                <w:rFonts w:ascii="宋体" w:hAnsi="宋体" w:cs="宋体"/>
                <w:kern w:val="0"/>
                <w:sz w:val="28"/>
                <w:szCs w:val="20"/>
              </w:rPr>
            </w:pPr>
            <w:r>
              <w:rPr>
                <w:rFonts w:hint="eastAsia" w:ascii="宋体" w:hAnsi="宋体" w:cs="宋体"/>
                <w:kern w:val="0"/>
                <w:sz w:val="28"/>
                <w:szCs w:val="20"/>
              </w:rPr>
              <w:t>　</w:t>
            </w:r>
          </w:p>
        </w:tc>
      </w:tr>
      <w:tr>
        <w:tblPrEx>
          <w:tblCellMar>
            <w:top w:w="0" w:type="dxa"/>
            <w:left w:w="108" w:type="dxa"/>
            <w:bottom w:w="0" w:type="dxa"/>
            <w:right w:w="108" w:type="dxa"/>
          </w:tblCellMar>
        </w:tblPrEx>
        <w:trPr>
          <w:trHeight w:val="189" w:hRule="atLeast"/>
        </w:trPr>
        <w:tc>
          <w:tcPr>
            <w:tcW w:w="4310" w:type="dxa"/>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4"/>
                <w:szCs w:val="18"/>
              </w:rPr>
            </w:pPr>
            <w:r>
              <w:rPr>
                <w:rFonts w:hint="eastAsia" w:ascii="宋体" w:hAnsi="宋体" w:cs="宋体"/>
                <w:kern w:val="0"/>
                <w:sz w:val="24"/>
                <w:szCs w:val="18"/>
              </w:rPr>
              <w:t xml:space="preserve">        公务用车购置费 </w:t>
            </w:r>
          </w:p>
        </w:tc>
        <w:tc>
          <w:tcPr>
            <w:tcW w:w="2123" w:type="dxa"/>
            <w:tcBorders>
              <w:top w:val="nil"/>
              <w:left w:val="nil"/>
              <w:bottom w:val="single" w:color="auto" w:sz="4" w:space="0"/>
              <w:right w:val="single" w:color="auto" w:sz="4" w:space="0"/>
            </w:tcBorders>
            <w:noWrap w:val="0"/>
            <w:vAlign w:val="bottom"/>
          </w:tcPr>
          <w:p>
            <w:pPr>
              <w:widowControl/>
              <w:jc w:val="left"/>
              <w:rPr>
                <w:rFonts w:ascii="宋体" w:hAnsi="宋体" w:cs="宋体"/>
                <w:kern w:val="0"/>
                <w:sz w:val="28"/>
                <w:szCs w:val="20"/>
              </w:rPr>
            </w:pPr>
            <w:r>
              <w:rPr>
                <w:rFonts w:hint="eastAsia" w:ascii="宋体" w:hAnsi="宋体" w:cs="宋体"/>
                <w:kern w:val="0"/>
                <w:sz w:val="28"/>
                <w:szCs w:val="20"/>
              </w:rPr>
              <w:t>　</w:t>
            </w:r>
          </w:p>
        </w:tc>
        <w:tc>
          <w:tcPr>
            <w:tcW w:w="2185" w:type="dxa"/>
            <w:tcBorders>
              <w:top w:val="nil"/>
              <w:left w:val="nil"/>
              <w:bottom w:val="single" w:color="auto" w:sz="4" w:space="0"/>
              <w:right w:val="single" w:color="auto" w:sz="4" w:space="0"/>
            </w:tcBorders>
            <w:noWrap w:val="0"/>
            <w:vAlign w:val="bottom"/>
          </w:tcPr>
          <w:p>
            <w:pPr>
              <w:widowControl/>
              <w:jc w:val="left"/>
              <w:rPr>
                <w:rFonts w:ascii="宋体" w:hAnsi="宋体" w:cs="宋体"/>
                <w:kern w:val="0"/>
                <w:sz w:val="28"/>
                <w:szCs w:val="20"/>
              </w:rPr>
            </w:pPr>
            <w:r>
              <w:rPr>
                <w:rFonts w:hint="eastAsia" w:ascii="宋体" w:hAnsi="宋体" w:cs="宋体"/>
                <w:kern w:val="0"/>
                <w:sz w:val="28"/>
                <w:szCs w:val="20"/>
              </w:rPr>
              <w:t>　</w:t>
            </w:r>
          </w:p>
        </w:tc>
      </w:tr>
    </w:tbl>
    <w:p>
      <w:pPr>
        <w:ind w:firstLine="314" w:firstLineChars="100"/>
        <w:rPr>
          <w:rFonts w:hint="eastAsia" w:ascii="仿宋_GB2312" w:hAnsi="仿宋" w:cs="Times New Roman"/>
          <w:b w:val="0"/>
          <w:bCs/>
          <w:sz w:val="24"/>
          <w:szCs w:val="24"/>
          <w:lang w:eastAsia="zh-CN"/>
        </w:rPr>
      </w:pPr>
      <w:r>
        <w:rPr>
          <w:rFonts w:hint="eastAsia" w:ascii="黑体" w:hAnsi="黑体" w:eastAsia="黑体" w:cs="Times New Roman"/>
          <w:szCs w:val="32"/>
        </w:rPr>
        <w:t xml:space="preserve"> </w:t>
      </w:r>
      <w:r>
        <w:rPr>
          <w:rFonts w:hint="eastAsia" w:ascii="仿宋_GB2312" w:hAnsi="仿宋" w:cs="Times New Roman"/>
          <w:b w:val="0"/>
          <w:bCs/>
          <w:sz w:val="24"/>
          <w:szCs w:val="24"/>
        </w:rPr>
        <w:t>注：本表反映部门本年度“三公”经费支出预决算情况。其中，预算数为“三公”经费年初预算数，决算数是包括当年一般公共预算财政拨款和以前年度结转资金安排的实际支出；本表金额转换成万元时，因四舍五入可能存在尾差</w:t>
      </w:r>
      <w:r>
        <w:rPr>
          <w:rFonts w:hint="eastAsia" w:ascii="仿宋_GB2312" w:hAnsi="仿宋" w:cs="Times New Roman"/>
          <w:b w:val="0"/>
          <w:bCs/>
          <w:sz w:val="24"/>
          <w:szCs w:val="24"/>
          <w:lang w:eastAsia="zh-CN"/>
        </w:rPr>
        <w:t>。</w:t>
      </w:r>
    </w:p>
    <w:p>
      <w:pPr>
        <w:ind w:firstLine="628" w:firstLineChars="200"/>
        <w:rPr>
          <w:rFonts w:hint="eastAsia" w:ascii="黑体" w:hAnsi="黑体" w:eastAsia="黑体"/>
          <w:szCs w:val="32"/>
        </w:rPr>
      </w:pPr>
      <w:r>
        <w:rPr>
          <w:rFonts w:hint="eastAsia" w:ascii="黑体" w:hAnsi="黑体" w:eastAsia="黑体"/>
          <w:szCs w:val="32"/>
        </w:rPr>
        <w:t xml:space="preserve">                               </w:t>
      </w:r>
    </w:p>
    <w:p>
      <w:pPr>
        <w:outlineLvl w:val="1"/>
        <w:rPr>
          <w:rFonts w:hint="eastAsia" w:ascii="黑体" w:hAnsi="黑体" w:eastAsia="黑体"/>
          <w:szCs w:val="32"/>
        </w:rPr>
      </w:pPr>
      <w:r>
        <w:rPr>
          <w:rFonts w:ascii="黑体" w:hAnsi="黑体" w:eastAsia="黑体"/>
          <w:szCs w:val="32"/>
        </w:rPr>
        <w:t xml:space="preserve">    </w:t>
      </w:r>
      <w:r>
        <w:rPr>
          <w:rFonts w:hint="eastAsia" w:ascii="黑体" w:hAnsi="黑体" w:eastAsia="黑体"/>
          <w:szCs w:val="32"/>
        </w:rPr>
        <w:t>二</w:t>
      </w:r>
      <w:r>
        <w:rPr>
          <w:rFonts w:ascii="黑体" w:hAnsi="黑体" w:eastAsia="黑体"/>
          <w:szCs w:val="32"/>
        </w:rPr>
        <w:t>、2020年</w:t>
      </w:r>
      <w:r>
        <w:rPr>
          <w:rFonts w:hint="eastAsia" w:ascii="黑体" w:hAnsi="黑体" w:eastAsia="黑体"/>
          <w:szCs w:val="32"/>
        </w:rPr>
        <w:t>度一般公共预算财政拨款“三公”经费支出</w:t>
      </w:r>
      <w:r>
        <w:rPr>
          <w:rFonts w:ascii="黑体" w:hAnsi="黑体" w:eastAsia="黑体"/>
          <w:szCs w:val="32"/>
        </w:rPr>
        <w:t>情况说明</w:t>
      </w:r>
    </w:p>
    <w:p>
      <w:pPr>
        <w:ind w:firstLine="628" w:firstLineChars="200"/>
        <w:outlineLvl w:val="2"/>
        <w:rPr>
          <w:rFonts w:hint="eastAsia" w:ascii="仿宋_GB2312" w:hAnsi="仿宋"/>
          <w:b/>
          <w:szCs w:val="32"/>
        </w:rPr>
      </w:pPr>
      <w:r>
        <w:rPr>
          <w:rFonts w:hint="eastAsia" w:ascii="仿宋_GB2312" w:hAnsi="仿宋"/>
          <w:b/>
          <w:szCs w:val="32"/>
        </w:rPr>
        <w:t>（一）一般公共预算财政拨款“三公”经费支出决算总体情况说明。</w:t>
      </w:r>
    </w:p>
    <w:p>
      <w:pPr>
        <w:ind w:firstLine="628" w:firstLineChars="200"/>
        <w:rPr>
          <w:rFonts w:hint="eastAsia" w:ascii="仿宋_GB2312" w:hAnsi="仿宋"/>
          <w:szCs w:val="32"/>
        </w:rPr>
      </w:pPr>
      <w:r>
        <w:rPr>
          <w:rFonts w:hint="eastAsia" w:ascii="仿宋_GB2312" w:hAnsi="仿宋"/>
          <w:szCs w:val="32"/>
          <w:lang w:val="en-US" w:eastAsia="zh-CN"/>
        </w:rPr>
        <w:t>黄山市红十字会</w:t>
      </w:r>
      <w:r>
        <w:rPr>
          <w:rFonts w:hint="eastAsia" w:ascii="仿宋_GB2312" w:hAnsi="仿宋"/>
          <w:szCs w:val="32"/>
        </w:rPr>
        <w:t>2020年度一般公共预算财政拨款“三公”经费支出预算为</w:t>
      </w:r>
      <w:r>
        <w:rPr>
          <w:rFonts w:hint="eastAsia" w:ascii="仿宋_GB2312" w:hAnsi="仿宋"/>
          <w:szCs w:val="32"/>
          <w:lang w:val="en-US" w:eastAsia="zh-CN"/>
        </w:rPr>
        <w:t>0.79</w:t>
      </w:r>
      <w:r>
        <w:rPr>
          <w:rFonts w:hint="eastAsia" w:ascii="仿宋_GB2312" w:hAnsi="仿宋"/>
          <w:szCs w:val="32"/>
        </w:rPr>
        <w:t>万元，支出决算为</w:t>
      </w:r>
      <w:r>
        <w:rPr>
          <w:rFonts w:hint="eastAsia" w:ascii="仿宋_GB2312" w:hAnsi="仿宋"/>
          <w:szCs w:val="32"/>
          <w:lang w:val="en-US" w:eastAsia="zh-CN"/>
        </w:rPr>
        <w:t>0.56</w:t>
      </w:r>
      <w:r>
        <w:rPr>
          <w:rFonts w:hint="eastAsia" w:ascii="仿宋_GB2312" w:hAnsi="仿宋"/>
          <w:szCs w:val="32"/>
        </w:rPr>
        <w:t>万元，完成预算的</w:t>
      </w:r>
      <w:r>
        <w:rPr>
          <w:rFonts w:hint="eastAsia" w:ascii="仿宋_GB2312" w:hAnsi="仿宋"/>
          <w:szCs w:val="32"/>
          <w:lang w:val="en-US" w:eastAsia="zh-CN"/>
        </w:rPr>
        <w:t>70.9</w:t>
      </w:r>
      <w:r>
        <w:rPr>
          <w:rFonts w:hint="eastAsia" w:ascii="仿宋_GB2312" w:hAnsi="仿宋"/>
          <w:szCs w:val="32"/>
        </w:rPr>
        <w:t>%，决算数小于预算数的主要原因是</w:t>
      </w:r>
      <w:r>
        <w:rPr>
          <w:rFonts w:hint="eastAsia" w:ascii="仿宋_GB2312" w:hAnsi="仿宋" w:cs="Times New Roman"/>
          <w:szCs w:val="32"/>
        </w:rPr>
        <w:t>认真贯彻落实中央八项规定精神，进一步控制“三公”经费开支，厉行节约</w:t>
      </w:r>
      <w:r>
        <w:rPr>
          <w:rFonts w:hint="eastAsia" w:ascii="仿宋_GB2312" w:hAnsi="仿宋"/>
          <w:szCs w:val="32"/>
        </w:rPr>
        <w:t>。为全面反映“三公”经费支出，</w:t>
      </w:r>
      <w:r>
        <w:rPr>
          <w:rFonts w:hint="eastAsia" w:ascii="仿宋_GB2312" w:hAnsi="仿宋"/>
          <w:color w:val="auto"/>
          <w:szCs w:val="32"/>
        </w:rPr>
        <w:t>本次公布的“三公”经费决算为部门汇总数，包含单位本级和</w:t>
      </w:r>
      <w:r>
        <w:rPr>
          <w:rFonts w:hint="eastAsia" w:ascii="仿宋_GB2312" w:hAnsi="仿宋"/>
          <w:color w:val="auto"/>
          <w:szCs w:val="32"/>
          <w:lang w:eastAsia="zh-CN"/>
        </w:rPr>
        <w:t>所</w:t>
      </w:r>
      <w:r>
        <w:rPr>
          <w:rFonts w:hint="eastAsia" w:ascii="仿宋_GB2312" w:hAnsi="仿宋"/>
          <w:color w:val="auto"/>
          <w:szCs w:val="32"/>
        </w:rPr>
        <w:t>属单位。</w:t>
      </w:r>
    </w:p>
    <w:p>
      <w:pPr>
        <w:ind w:firstLine="628" w:firstLineChars="200"/>
        <w:outlineLvl w:val="2"/>
        <w:rPr>
          <w:rFonts w:hint="eastAsia" w:ascii="仿宋_GB2312" w:hAnsi="仿宋"/>
          <w:b/>
          <w:szCs w:val="32"/>
        </w:rPr>
      </w:pPr>
      <w:r>
        <w:rPr>
          <w:rFonts w:hint="eastAsia" w:ascii="仿宋_GB2312" w:hAnsi="仿宋"/>
          <w:b/>
          <w:bCs/>
          <w:szCs w:val="32"/>
        </w:rPr>
        <w:t>（二）</w:t>
      </w:r>
      <w:r>
        <w:rPr>
          <w:rFonts w:hint="eastAsia" w:ascii="仿宋_GB2312" w:hAnsi="仿宋"/>
          <w:b/>
          <w:szCs w:val="32"/>
        </w:rPr>
        <w:t>一般公共预算财政拨款“三公”经费支出决算具体情况说明。</w:t>
      </w:r>
    </w:p>
    <w:p>
      <w:pPr>
        <w:ind w:firstLine="628" w:firstLineChars="200"/>
        <w:rPr>
          <w:rFonts w:hint="eastAsia" w:ascii="仿宋_GB2312" w:hAnsi="仿宋"/>
          <w:szCs w:val="32"/>
        </w:rPr>
      </w:pPr>
      <w:r>
        <w:rPr>
          <w:rFonts w:hint="eastAsia" w:ascii="仿宋_GB2312" w:hAnsi="仿宋"/>
          <w:szCs w:val="32"/>
          <w:lang w:val="en-US" w:eastAsia="zh-CN"/>
        </w:rPr>
        <w:t>黄山市红十字会</w:t>
      </w:r>
      <w:r>
        <w:rPr>
          <w:rFonts w:hint="eastAsia" w:ascii="仿宋_GB2312" w:hAnsi="仿宋"/>
          <w:szCs w:val="32"/>
        </w:rPr>
        <w:t>2020年度一般公共预算财政拨款“三公”经费支出决算中，因公出国（境）费支出决算</w:t>
      </w:r>
      <w:r>
        <w:rPr>
          <w:rFonts w:hint="eastAsia" w:ascii="仿宋_GB2312" w:hAnsi="仿宋"/>
          <w:szCs w:val="32"/>
          <w:lang w:val="en-US" w:eastAsia="zh-CN"/>
        </w:rPr>
        <w:t>0</w:t>
      </w:r>
      <w:r>
        <w:rPr>
          <w:rFonts w:hint="eastAsia" w:ascii="仿宋_GB2312" w:hAnsi="仿宋"/>
          <w:szCs w:val="32"/>
        </w:rPr>
        <w:t>万元，占</w:t>
      </w:r>
      <w:r>
        <w:rPr>
          <w:rFonts w:hint="eastAsia" w:ascii="仿宋_GB2312" w:hAnsi="仿宋"/>
          <w:szCs w:val="32"/>
          <w:lang w:val="en-US" w:eastAsia="zh-CN"/>
        </w:rPr>
        <w:t>0</w:t>
      </w:r>
      <w:r>
        <w:rPr>
          <w:rFonts w:hint="eastAsia" w:ascii="仿宋_GB2312" w:hAnsi="仿宋"/>
          <w:szCs w:val="32"/>
        </w:rPr>
        <w:t>%;公务接待费支出决算</w:t>
      </w:r>
      <w:r>
        <w:rPr>
          <w:rFonts w:hint="eastAsia" w:ascii="仿宋_GB2312" w:hAnsi="仿宋"/>
          <w:szCs w:val="32"/>
          <w:lang w:val="en-US" w:eastAsia="zh-CN"/>
        </w:rPr>
        <w:t>0.56</w:t>
      </w:r>
      <w:r>
        <w:rPr>
          <w:rFonts w:hint="eastAsia" w:ascii="仿宋_GB2312" w:hAnsi="仿宋"/>
          <w:szCs w:val="32"/>
        </w:rPr>
        <w:t>万元，占</w:t>
      </w:r>
      <w:r>
        <w:rPr>
          <w:rFonts w:hint="eastAsia" w:ascii="仿宋_GB2312" w:hAnsi="仿宋"/>
          <w:szCs w:val="32"/>
          <w:lang w:val="en-US" w:eastAsia="zh-CN"/>
        </w:rPr>
        <w:t>100</w:t>
      </w:r>
      <w:r>
        <w:rPr>
          <w:rFonts w:hint="eastAsia" w:ascii="仿宋_GB2312" w:hAnsi="仿宋"/>
          <w:szCs w:val="32"/>
        </w:rPr>
        <w:t>%；公务用车购置及运行维护费支出决算</w:t>
      </w:r>
      <w:r>
        <w:rPr>
          <w:rFonts w:hint="eastAsia" w:ascii="仿宋_GB2312" w:hAnsi="仿宋"/>
          <w:szCs w:val="32"/>
          <w:lang w:val="en-US" w:eastAsia="zh-CN"/>
        </w:rPr>
        <w:t>0</w:t>
      </w:r>
      <w:r>
        <w:rPr>
          <w:rFonts w:hint="eastAsia" w:ascii="仿宋_GB2312" w:hAnsi="仿宋"/>
          <w:szCs w:val="32"/>
        </w:rPr>
        <w:t>万元，占</w:t>
      </w:r>
      <w:r>
        <w:rPr>
          <w:rFonts w:hint="eastAsia" w:ascii="仿宋_GB2312" w:hAnsi="仿宋"/>
          <w:szCs w:val="32"/>
          <w:lang w:val="en-US" w:eastAsia="zh-CN"/>
        </w:rPr>
        <w:t>0</w:t>
      </w:r>
      <w:r>
        <w:rPr>
          <w:rFonts w:hint="eastAsia" w:ascii="仿宋_GB2312" w:hAnsi="仿宋"/>
          <w:szCs w:val="32"/>
        </w:rPr>
        <w:t>%。具体情况如下：</w:t>
      </w:r>
    </w:p>
    <w:p>
      <w:pPr>
        <w:ind w:firstLine="628"/>
        <w:rPr>
          <w:rFonts w:hint="eastAsia" w:ascii="仿宋_GB2312" w:hAnsi="仿宋"/>
          <w:szCs w:val="32"/>
        </w:rPr>
      </w:pPr>
      <w:r>
        <w:rPr>
          <w:rFonts w:hint="eastAsia" w:ascii="仿宋_GB2312" w:hAnsi="仿宋"/>
          <w:b/>
          <w:bCs/>
          <w:szCs w:val="32"/>
        </w:rPr>
        <w:t>1.因公出国（境）费支出</w:t>
      </w:r>
      <w:r>
        <w:rPr>
          <w:rFonts w:hint="eastAsia" w:ascii="仿宋_GB2312" w:hAnsi="仿宋"/>
          <w:szCs w:val="32"/>
          <w:lang w:val="en-US" w:eastAsia="zh-CN"/>
        </w:rPr>
        <w:t>0</w:t>
      </w:r>
      <w:r>
        <w:rPr>
          <w:rFonts w:hint="eastAsia" w:ascii="仿宋_GB2312" w:hAnsi="仿宋"/>
          <w:szCs w:val="32"/>
        </w:rPr>
        <w:t>万元，与2020年度预算相比，减少（增加）</w:t>
      </w:r>
      <w:r>
        <w:rPr>
          <w:rFonts w:hint="eastAsia" w:ascii="仿宋_GB2312" w:hAnsi="仿宋"/>
          <w:szCs w:val="32"/>
          <w:lang w:val="en-US" w:eastAsia="zh-CN"/>
        </w:rPr>
        <w:t>0</w:t>
      </w:r>
      <w:r>
        <w:rPr>
          <w:rFonts w:hint="eastAsia" w:ascii="仿宋_GB2312" w:hAnsi="仿宋"/>
          <w:szCs w:val="32"/>
        </w:rPr>
        <w:t>万元，下降（增长）</w:t>
      </w:r>
      <w:r>
        <w:rPr>
          <w:rFonts w:hint="eastAsia" w:ascii="仿宋_GB2312" w:hAnsi="仿宋"/>
          <w:szCs w:val="32"/>
          <w:lang w:val="en-US" w:eastAsia="zh-CN"/>
        </w:rPr>
        <w:t>0</w:t>
      </w:r>
      <w:r>
        <w:rPr>
          <w:rFonts w:hint="eastAsia" w:ascii="仿宋_GB2312" w:hAnsi="仿宋"/>
          <w:szCs w:val="32"/>
        </w:rPr>
        <w:t>%，下降（增长）的原因是</w:t>
      </w:r>
      <w:r>
        <w:rPr>
          <w:rFonts w:hint="eastAsia" w:ascii="仿宋_GB2312" w:hAnsi="仿宋"/>
          <w:szCs w:val="32"/>
          <w:lang w:eastAsia="zh-CN"/>
        </w:rPr>
        <w:t>本单位无出国计划安排</w:t>
      </w:r>
      <w:r>
        <w:rPr>
          <w:rFonts w:hint="eastAsia" w:ascii="仿宋_GB2312" w:hAnsi="仿宋"/>
          <w:szCs w:val="32"/>
        </w:rPr>
        <w:t>。2020年</w:t>
      </w:r>
      <w:r>
        <w:rPr>
          <w:rFonts w:hint="eastAsia" w:ascii="仿宋_GB2312" w:hAnsi="仿宋"/>
          <w:szCs w:val="32"/>
          <w:lang w:val="en-US" w:eastAsia="zh-CN"/>
        </w:rPr>
        <w:t>黄山市红十字会</w:t>
      </w:r>
      <w:r>
        <w:rPr>
          <w:rFonts w:hint="eastAsia" w:ascii="仿宋_GB2312" w:hAnsi="仿宋"/>
          <w:szCs w:val="32"/>
        </w:rPr>
        <w:t>因公出国（境）团组</w:t>
      </w:r>
      <w:r>
        <w:rPr>
          <w:rFonts w:hint="eastAsia" w:ascii="仿宋_GB2312" w:hAnsi="仿宋"/>
          <w:szCs w:val="32"/>
          <w:lang w:val="en-US" w:eastAsia="zh-CN"/>
        </w:rPr>
        <w:t>0</w:t>
      </w:r>
      <w:r>
        <w:rPr>
          <w:rFonts w:hint="eastAsia" w:ascii="仿宋_GB2312" w:hAnsi="仿宋"/>
          <w:szCs w:val="32"/>
        </w:rPr>
        <w:t>次，累计出国（境）</w:t>
      </w:r>
      <w:r>
        <w:rPr>
          <w:rFonts w:hint="eastAsia" w:ascii="仿宋_GB2312" w:hAnsi="仿宋"/>
          <w:szCs w:val="32"/>
          <w:lang w:val="en-US" w:eastAsia="zh-CN"/>
        </w:rPr>
        <w:t>0</w:t>
      </w:r>
      <w:r>
        <w:rPr>
          <w:rFonts w:hint="eastAsia" w:ascii="仿宋_GB2312" w:hAnsi="仿宋"/>
          <w:szCs w:val="32"/>
        </w:rPr>
        <w:t>人次。该项经费根据</w:t>
      </w:r>
      <w:r>
        <w:rPr>
          <w:rFonts w:hint="eastAsia" w:ascii="仿宋_GB2312" w:hAnsi="仿宋"/>
          <w:szCs w:val="32"/>
          <w:lang w:val="en-US" w:eastAsia="zh-CN"/>
        </w:rPr>
        <w:t>市</w:t>
      </w:r>
      <w:r>
        <w:rPr>
          <w:rFonts w:hint="eastAsia" w:ascii="仿宋_GB2312" w:hAnsi="仿宋"/>
          <w:szCs w:val="32"/>
        </w:rPr>
        <w:t>外办批准的因公临时出国（境）计划，按照规定标准安排。。</w:t>
      </w:r>
      <w:r>
        <w:rPr>
          <w:rFonts w:hint="eastAsia" w:ascii="仿宋_GB2312" w:hAnsi="仿宋" w:cs="Times New Roman"/>
          <w:szCs w:val="32"/>
        </w:rPr>
        <w:t xml:space="preserve">经费使用严格按照《黄山市财政局 黄山市政府外事办公室关于转发&lt;安徽省省直党政机关因公临时出国经费管理办法&gt;的通知》（黄财行〔2014〕68号）、《黄山市财政局 黄山市人力资源和社会保障局转发&lt;安徽省省直党政机关因公短期出国培训费用管理办法&gt;的通知》（黄财社〔2014〕262号）相关规定执行。 </w:t>
      </w:r>
    </w:p>
    <w:p>
      <w:pPr>
        <w:ind w:firstLine="628" w:firstLineChars="200"/>
        <w:rPr>
          <w:rFonts w:hint="eastAsia" w:ascii="仿宋_GB2312" w:hAnsi="仿宋" w:cs="Times New Roman"/>
          <w:szCs w:val="32"/>
        </w:rPr>
      </w:pPr>
      <w:r>
        <w:rPr>
          <w:rFonts w:hint="eastAsia" w:ascii="仿宋_GB2312" w:hAnsi="仿宋"/>
          <w:b/>
          <w:bCs/>
          <w:szCs w:val="32"/>
        </w:rPr>
        <w:t>2.公务接待费支出</w:t>
      </w:r>
      <w:r>
        <w:rPr>
          <w:rFonts w:hint="eastAsia" w:ascii="仿宋_GB2312" w:hAnsi="仿宋"/>
          <w:szCs w:val="32"/>
          <w:lang w:val="en-US" w:eastAsia="zh-CN"/>
        </w:rPr>
        <w:t>0.56</w:t>
      </w:r>
      <w:r>
        <w:rPr>
          <w:rFonts w:hint="eastAsia" w:ascii="仿宋_GB2312" w:hAnsi="仿宋"/>
          <w:szCs w:val="32"/>
        </w:rPr>
        <w:t>万元, 与2020年度预算相比，减少</w:t>
      </w:r>
      <w:r>
        <w:rPr>
          <w:rFonts w:hint="eastAsia" w:ascii="仿宋_GB2312" w:hAnsi="仿宋"/>
          <w:szCs w:val="32"/>
          <w:lang w:val="en-US" w:eastAsia="zh-CN"/>
        </w:rPr>
        <w:t>0.23</w:t>
      </w:r>
      <w:r>
        <w:rPr>
          <w:rFonts w:hint="eastAsia" w:ascii="仿宋_GB2312" w:hAnsi="仿宋"/>
          <w:szCs w:val="32"/>
        </w:rPr>
        <w:t>万元，下降</w:t>
      </w:r>
      <w:r>
        <w:rPr>
          <w:rFonts w:hint="eastAsia" w:ascii="仿宋_GB2312" w:hAnsi="仿宋"/>
          <w:szCs w:val="32"/>
          <w:lang w:val="en-US" w:eastAsia="zh-CN"/>
        </w:rPr>
        <w:t>41.1</w:t>
      </w:r>
      <w:r>
        <w:rPr>
          <w:rFonts w:hint="eastAsia" w:ascii="仿宋_GB2312" w:hAnsi="仿宋"/>
          <w:szCs w:val="32"/>
        </w:rPr>
        <w:t>%，下降的原因是</w:t>
      </w:r>
      <w:r>
        <w:rPr>
          <w:rFonts w:hint="eastAsia" w:ascii="仿宋_GB2312" w:hAnsi="仿宋" w:cs="Times New Roman"/>
          <w:szCs w:val="32"/>
        </w:rPr>
        <w:t>认真贯彻落实中央八项规定精神，进一步控制“三公”经费开支，厉行节约</w:t>
      </w:r>
      <w:r>
        <w:rPr>
          <w:rFonts w:hint="eastAsia" w:ascii="仿宋_GB2312" w:hAnsi="仿宋"/>
          <w:szCs w:val="32"/>
        </w:rPr>
        <w:t>。2020年</w:t>
      </w:r>
      <w:r>
        <w:rPr>
          <w:rFonts w:hint="eastAsia" w:ascii="仿宋_GB2312" w:hAnsi="仿宋"/>
          <w:szCs w:val="32"/>
          <w:lang w:val="en-US" w:eastAsia="zh-CN"/>
        </w:rPr>
        <w:t>黄山市红十字会</w:t>
      </w:r>
      <w:r>
        <w:rPr>
          <w:rFonts w:hint="eastAsia" w:ascii="仿宋_GB2312" w:hAnsi="仿宋"/>
          <w:szCs w:val="32"/>
        </w:rPr>
        <w:t>国内公务接待共</w:t>
      </w:r>
      <w:r>
        <w:rPr>
          <w:rFonts w:hint="eastAsia" w:ascii="仿宋_GB2312" w:hAnsi="仿宋"/>
          <w:szCs w:val="32"/>
          <w:lang w:val="en-US" w:eastAsia="zh-CN"/>
        </w:rPr>
        <w:t>11</w:t>
      </w:r>
      <w:r>
        <w:rPr>
          <w:rFonts w:hint="eastAsia" w:ascii="仿宋_GB2312" w:hAnsi="仿宋"/>
          <w:szCs w:val="32"/>
        </w:rPr>
        <w:t>批次（其中外事接待</w:t>
      </w:r>
      <w:r>
        <w:rPr>
          <w:rFonts w:hint="eastAsia" w:ascii="仿宋_GB2312" w:hAnsi="仿宋"/>
          <w:szCs w:val="32"/>
          <w:lang w:val="en-US" w:eastAsia="zh-CN"/>
        </w:rPr>
        <w:t>0</w:t>
      </w:r>
      <w:r>
        <w:rPr>
          <w:rFonts w:hint="eastAsia" w:ascii="仿宋_GB2312" w:hAnsi="仿宋"/>
          <w:szCs w:val="32"/>
        </w:rPr>
        <w:t>批次），</w:t>
      </w:r>
      <w:r>
        <w:rPr>
          <w:rFonts w:hint="eastAsia" w:ascii="仿宋_GB2312" w:hAnsi="仿宋"/>
          <w:szCs w:val="32"/>
          <w:lang w:val="en-US" w:eastAsia="zh-CN"/>
        </w:rPr>
        <w:t>70</w:t>
      </w:r>
      <w:r>
        <w:rPr>
          <w:rFonts w:hint="eastAsia" w:ascii="仿宋_GB2312" w:hAnsi="仿宋"/>
          <w:szCs w:val="32"/>
        </w:rPr>
        <w:t>人次（其中外事接待</w:t>
      </w:r>
      <w:r>
        <w:rPr>
          <w:rFonts w:hint="eastAsia" w:ascii="仿宋_GB2312" w:hAnsi="仿宋"/>
          <w:szCs w:val="32"/>
          <w:lang w:val="en-US" w:eastAsia="zh-CN"/>
        </w:rPr>
        <w:t>0</w:t>
      </w:r>
      <w:r>
        <w:rPr>
          <w:rFonts w:hint="eastAsia" w:ascii="仿宋_GB2312" w:hAnsi="仿宋"/>
          <w:szCs w:val="32"/>
        </w:rPr>
        <w:t>人次）。主要是用于</w:t>
      </w:r>
      <w:r>
        <w:rPr>
          <w:rFonts w:hint="eastAsia" w:ascii="仿宋_GB2312" w:hAnsi="仿宋" w:cs="Times New Roman"/>
          <w:szCs w:val="32"/>
        </w:rPr>
        <w:t>接待系统内单位交流、工作调研等财政公务往来支出</w:t>
      </w:r>
      <w:r>
        <w:rPr>
          <w:rFonts w:hint="eastAsia" w:ascii="仿宋_GB2312" w:hAnsi="仿宋"/>
          <w:szCs w:val="32"/>
        </w:rPr>
        <w:t>。</w:t>
      </w:r>
      <w:r>
        <w:rPr>
          <w:rFonts w:hint="eastAsia" w:ascii="仿宋_GB2312" w:hAnsi="仿宋" w:cs="Times New Roman"/>
          <w:szCs w:val="32"/>
        </w:rPr>
        <w:t>经费使用贯彻</w:t>
      </w:r>
      <w:r>
        <w:rPr>
          <w:rFonts w:hint="eastAsia" w:ascii="仿宋_GB2312" w:hAnsi="仿宋" w:cs="Times New Roman"/>
          <w:szCs w:val="32"/>
          <w:lang w:eastAsia="zh-CN"/>
        </w:rPr>
        <w:t>中央八项规定</w:t>
      </w:r>
      <w:r>
        <w:rPr>
          <w:rFonts w:hint="eastAsia" w:ascii="仿宋_GB2312" w:hAnsi="仿宋" w:cs="Times New Roman"/>
          <w:szCs w:val="32"/>
        </w:rPr>
        <w:t>和省委省政府30条要求，严格执行《党政机关厉行节约反对浪费条例》、《黄山市党政机关国内公务接待管理细则》（黄办〔2014〕21号）、《黄山市党政机关国内公务考察及公务接待管理暂行办法》（黄办[2013]11号）、《黄山市市直机关外宾接待经费管理办法》（黄财行[2014]317号）、《关于进一步加强公务接待经费管理的通知》（黄财行[2015]315号）。</w:t>
      </w:r>
    </w:p>
    <w:p>
      <w:pPr>
        <w:ind w:firstLine="628" w:firstLineChars="200"/>
        <w:rPr>
          <w:rFonts w:hint="eastAsia" w:ascii="仿宋_GB2312" w:eastAsia="仿宋_GB2312"/>
          <w:sz w:val="32"/>
        </w:rPr>
      </w:pPr>
      <w:r>
        <w:rPr>
          <w:rFonts w:hint="eastAsia" w:ascii="仿宋_GB2312" w:hAnsi="仿宋"/>
          <w:b/>
          <w:bCs/>
          <w:szCs w:val="32"/>
        </w:rPr>
        <w:t>3.公务用车购置及运行维护费支出</w:t>
      </w:r>
      <w:r>
        <w:rPr>
          <w:rFonts w:hint="eastAsia" w:ascii="仿宋_GB2312" w:hAnsi="仿宋"/>
          <w:szCs w:val="32"/>
          <w:lang w:val="en-US" w:eastAsia="zh-CN"/>
        </w:rPr>
        <w:t>0</w:t>
      </w:r>
      <w:r>
        <w:rPr>
          <w:rFonts w:hint="eastAsia" w:ascii="仿宋_GB2312" w:hAnsi="仿宋"/>
          <w:szCs w:val="32"/>
        </w:rPr>
        <w:t>万元，与2020年度预算相比，减少（增加）</w:t>
      </w:r>
      <w:r>
        <w:rPr>
          <w:rFonts w:hint="eastAsia" w:ascii="仿宋_GB2312" w:hAnsi="仿宋"/>
          <w:szCs w:val="32"/>
          <w:lang w:val="en-US" w:eastAsia="zh-CN"/>
        </w:rPr>
        <w:t>0</w:t>
      </w:r>
      <w:r>
        <w:rPr>
          <w:rFonts w:hint="eastAsia" w:ascii="仿宋_GB2312" w:hAnsi="仿宋"/>
          <w:szCs w:val="32"/>
        </w:rPr>
        <w:t>万元，下降（增长）</w:t>
      </w:r>
      <w:r>
        <w:rPr>
          <w:rFonts w:hint="eastAsia" w:ascii="仿宋_GB2312" w:hAnsi="仿宋"/>
          <w:szCs w:val="32"/>
          <w:lang w:val="en-US" w:eastAsia="zh-CN"/>
        </w:rPr>
        <w:t>0</w:t>
      </w:r>
      <w:r>
        <w:rPr>
          <w:rFonts w:hint="eastAsia" w:ascii="仿宋_GB2312" w:hAnsi="仿宋"/>
          <w:szCs w:val="32"/>
        </w:rPr>
        <w:t>%</w:t>
      </w:r>
      <w:r>
        <w:rPr>
          <w:rFonts w:hint="eastAsia" w:ascii="仿宋_GB2312" w:hAnsi="仿宋"/>
          <w:szCs w:val="32"/>
          <w:lang w:eastAsia="zh-CN"/>
        </w:rPr>
        <w:t>，</w:t>
      </w:r>
      <w:r>
        <w:rPr>
          <w:rFonts w:hint="eastAsia" w:ascii="仿宋_GB2312" w:hAnsi="仿宋"/>
          <w:szCs w:val="32"/>
        </w:rPr>
        <w:t>下降（增长）的原因是</w:t>
      </w:r>
      <w:r>
        <w:rPr>
          <w:rFonts w:hint="eastAsia" w:ascii="仿宋_GB2312" w:hAnsi="仿宋"/>
          <w:szCs w:val="32"/>
          <w:lang w:eastAsia="zh-CN"/>
        </w:rPr>
        <w:t>本单位无车辆</w:t>
      </w:r>
      <w:r>
        <w:rPr>
          <w:rFonts w:hint="eastAsia" w:ascii="仿宋_GB2312" w:hAnsi="仿宋"/>
          <w:szCs w:val="32"/>
        </w:rPr>
        <w:t>。其中，公务用车购置费</w:t>
      </w:r>
      <w:r>
        <w:rPr>
          <w:rFonts w:hint="eastAsia" w:ascii="仿宋_GB2312" w:hAnsi="仿宋"/>
          <w:szCs w:val="32"/>
          <w:lang w:val="en-US" w:eastAsia="zh-CN"/>
        </w:rPr>
        <w:t>0</w:t>
      </w:r>
      <w:r>
        <w:rPr>
          <w:rFonts w:hint="eastAsia" w:ascii="仿宋_GB2312" w:hAnsi="仿宋"/>
          <w:szCs w:val="32"/>
        </w:rPr>
        <w:t>万元，与2020年度预算相比，减少（增加）</w:t>
      </w:r>
      <w:r>
        <w:rPr>
          <w:rFonts w:hint="eastAsia" w:ascii="仿宋_GB2312" w:hAnsi="仿宋"/>
          <w:szCs w:val="32"/>
          <w:lang w:val="en-US" w:eastAsia="zh-CN"/>
        </w:rPr>
        <w:t>0</w:t>
      </w:r>
      <w:r>
        <w:rPr>
          <w:rFonts w:hint="eastAsia" w:ascii="仿宋_GB2312" w:hAnsi="仿宋"/>
          <w:szCs w:val="32"/>
        </w:rPr>
        <w:t>万元，下降（增长）</w:t>
      </w:r>
      <w:r>
        <w:rPr>
          <w:rFonts w:hint="eastAsia" w:ascii="仿宋_GB2312" w:hAnsi="仿宋"/>
          <w:szCs w:val="32"/>
          <w:lang w:val="en-US" w:eastAsia="zh-CN"/>
        </w:rPr>
        <w:t>0</w:t>
      </w:r>
      <w:r>
        <w:rPr>
          <w:rFonts w:hint="eastAsia" w:ascii="仿宋_GB2312" w:hAnsi="仿宋"/>
          <w:szCs w:val="32"/>
        </w:rPr>
        <w:t>%，下降（增长）的原因是</w:t>
      </w:r>
      <w:r>
        <w:rPr>
          <w:rFonts w:hint="eastAsia" w:ascii="仿宋_GB2312" w:hAnsi="仿宋"/>
          <w:szCs w:val="32"/>
          <w:lang w:eastAsia="zh-CN"/>
        </w:rPr>
        <w:t>本单位无车辆</w:t>
      </w:r>
      <w:r>
        <w:rPr>
          <w:rFonts w:hint="eastAsia" w:ascii="仿宋_GB2312" w:hAnsi="仿宋"/>
          <w:szCs w:val="32"/>
        </w:rPr>
        <w:t>，</w:t>
      </w:r>
      <w:r>
        <w:rPr>
          <w:rFonts w:hint="eastAsia" w:ascii="仿宋_GB2312" w:hAnsi="仿宋" w:cs="Times New Roman"/>
          <w:szCs w:val="32"/>
        </w:rPr>
        <w:t>2020年没有安排公务用车购置费。公务用车运行</w:t>
      </w:r>
      <w:r>
        <w:rPr>
          <w:rFonts w:hint="eastAsia" w:ascii="仿宋_GB2312" w:hAnsi="仿宋"/>
          <w:szCs w:val="32"/>
        </w:rPr>
        <w:t>维护费</w:t>
      </w:r>
      <w:r>
        <w:rPr>
          <w:rFonts w:hint="eastAsia" w:ascii="仿宋_GB2312" w:hAnsi="仿宋"/>
          <w:szCs w:val="32"/>
          <w:lang w:val="en-US" w:eastAsia="zh-CN"/>
        </w:rPr>
        <w:t>0</w:t>
      </w:r>
      <w:r>
        <w:rPr>
          <w:rFonts w:hint="eastAsia" w:ascii="仿宋_GB2312" w:hAnsi="仿宋"/>
          <w:szCs w:val="32"/>
        </w:rPr>
        <w:t>万元，与2020年度预算相比，减少（增加）</w:t>
      </w:r>
      <w:r>
        <w:rPr>
          <w:rFonts w:hint="eastAsia" w:ascii="仿宋_GB2312" w:hAnsi="仿宋"/>
          <w:szCs w:val="32"/>
          <w:lang w:val="en-US" w:eastAsia="zh-CN"/>
        </w:rPr>
        <w:t>0</w:t>
      </w:r>
      <w:r>
        <w:rPr>
          <w:rFonts w:hint="eastAsia" w:ascii="仿宋_GB2312" w:hAnsi="仿宋"/>
          <w:szCs w:val="32"/>
        </w:rPr>
        <w:t>万元，下降（增长）</w:t>
      </w:r>
      <w:r>
        <w:rPr>
          <w:rFonts w:hint="eastAsia" w:ascii="仿宋_GB2312" w:hAnsi="仿宋"/>
          <w:szCs w:val="32"/>
          <w:lang w:val="en-US" w:eastAsia="zh-CN"/>
        </w:rPr>
        <w:t>0</w:t>
      </w:r>
      <w:r>
        <w:rPr>
          <w:rFonts w:hint="eastAsia" w:ascii="仿宋_GB2312" w:hAnsi="仿宋"/>
          <w:szCs w:val="32"/>
        </w:rPr>
        <w:t>%，下降（增长）的原因是</w:t>
      </w:r>
      <w:r>
        <w:rPr>
          <w:rFonts w:hint="eastAsia" w:ascii="仿宋_GB2312" w:hAnsi="仿宋"/>
          <w:szCs w:val="32"/>
          <w:lang w:eastAsia="zh-CN"/>
        </w:rPr>
        <w:t>本单位无车辆</w:t>
      </w:r>
      <w:r>
        <w:rPr>
          <w:rFonts w:hint="eastAsia" w:ascii="仿宋_GB2312" w:hAnsi="仿宋"/>
          <w:szCs w:val="32"/>
        </w:rPr>
        <w:t>。公务用车运行维护费，包括车辆燃料费、维修费、过路过桥费、保险费等支出。截至2020年12月31日，</w:t>
      </w:r>
      <w:r>
        <w:rPr>
          <w:rFonts w:hint="eastAsia" w:ascii="仿宋_GB2312" w:hAnsi="仿宋"/>
          <w:szCs w:val="32"/>
          <w:lang w:val="en-US" w:eastAsia="zh-CN"/>
        </w:rPr>
        <w:t>黄山市红十字会</w:t>
      </w:r>
      <w:r>
        <w:rPr>
          <w:rFonts w:hint="eastAsia" w:ascii="仿宋_GB2312" w:hAnsi="仿宋"/>
          <w:szCs w:val="32"/>
        </w:rPr>
        <w:t>机关及所属单位开支财政拨款的公务用车保有量为</w:t>
      </w:r>
      <w:r>
        <w:rPr>
          <w:rFonts w:hint="eastAsia" w:ascii="仿宋_GB2312" w:hAnsi="仿宋"/>
          <w:szCs w:val="32"/>
          <w:lang w:val="en-US" w:eastAsia="zh-CN"/>
        </w:rPr>
        <w:t>0</w:t>
      </w:r>
      <w:r>
        <w:rPr>
          <w:rFonts w:hint="eastAsia" w:ascii="仿宋_GB2312" w:hAnsi="仿宋"/>
          <w:szCs w:val="32"/>
        </w:rPr>
        <w:t>辆。</w:t>
      </w:r>
    </w:p>
    <w:p/>
    <w:sectPr>
      <w:pgSz w:w="11906" w:h="16838"/>
      <w:pgMar w:top="2155" w:right="1531" w:bottom="1588" w:left="1588" w:header="0" w:footer="1588" w:gutter="0"/>
      <w:cols w:space="720" w:num="1"/>
      <w:docGrid w:type="linesAndChars" w:linePitch="569" w:charSpace="-126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I2YzQ1Y2VlNzkzYTkxNDdhNDg4YzZmMDA2NzEzNGMifQ=="/>
  </w:docVars>
  <w:rsids>
    <w:rsidRoot w:val="56A00845"/>
    <w:rsid w:val="13554EF3"/>
    <w:rsid w:val="56A00845"/>
    <w:rsid w:val="592702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3">
    <w:name w:val="Default Paragraph Font"/>
    <w:autoRedefine/>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1399</Words>
  <Characters>1530</Characters>
  <Lines>0</Lines>
  <Paragraphs>0</Paragraphs>
  <TotalTime>1</TotalTime>
  <ScaleCrop>false</ScaleCrop>
  <LinksUpToDate>false</LinksUpToDate>
  <CharactersWithSpaces>1600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2021-10-14T05:43:00Z</dcterms:created>
  <dc:creator>2925856435</dc:creator>
  <cp:lastModifiedBy>2925856435</cp:lastModifiedBy>
  <dcterms:modified xsi:type="dcterms:W3CDTF">2024-04-08T03:47:15Z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EB58A8C9749047FC90D5DD330EF0E00F</vt:lpwstr>
  </property>
</Properties>
</file>